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5C2FB2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14524F" w:rsidRPr="0014524F" w:rsidRDefault="0014524F" w:rsidP="0014524F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14524F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"ТРЕБОВАНИЯ ПРОМЫШЛЕННОЙ БЕЗОПАСНОСТИ</w:t>
      </w:r>
    </w:p>
    <w:p w:rsidR="0014524F" w:rsidRPr="0014524F" w:rsidRDefault="0014524F" w:rsidP="0014524F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14524F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К ПОДЪЕМНЫМ СООРУЖЕНИЯМ"</w:t>
      </w:r>
    </w:p>
    <w:p w:rsidR="005C2FB2" w:rsidRDefault="005C2FB2" w:rsidP="00AE7230">
      <w:pPr>
        <w:jc w:val="center"/>
        <w:rPr>
          <w:b/>
        </w:rPr>
      </w:pPr>
    </w:p>
    <w:p w:rsidR="00AE7230" w:rsidRDefault="005C2FB2" w:rsidP="00AE7230">
      <w:pPr>
        <w:jc w:val="center"/>
        <w:rPr>
          <w:b/>
        </w:rPr>
      </w:pPr>
      <w:r>
        <w:rPr>
          <w:b/>
        </w:rPr>
        <w:t>ПО ТЕМЕ:</w:t>
      </w:r>
    </w:p>
    <w:p w:rsidR="00AE7230" w:rsidRPr="00ED5485" w:rsidRDefault="00ED5485" w:rsidP="00AE7230">
      <w:pPr>
        <w:jc w:val="center"/>
        <w:rPr>
          <w:b/>
          <w:bCs/>
        </w:rPr>
      </w:pPr>
      <w:r>
        <w:rPr>
          <w:b/>
          <w:bCs/>
        </w:rPr>
        <w:t>«</w:t>
      </w:r>
      <w:r w:rsidRPr="00ED5485">
        <w:rPr>
          <w:b/>
          <w:bCs/>
        </w:rPr>
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</w:r>
      <w:r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C60F90" w:rsidRDefault="00C60F9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t>ПОЯСНИТЕЛЬНАЯ ЗАПИСКА</w:t>
      </w:r>
    </w:p>
    <w:p w:rsidR="0014524F" w:rsidRDefault="009B46F3" w:rsidP="0014524F">
      <w:pPr>
        <w:pStyle w:val="ConsPlusNormal"/>
        <w:ind w:firstLine="540"/>
        <w:jc w:val="both"/>
      </w:pPr>
      <w:r>
        <w:t xml:space="preserve">Дополнительная </w:t>
      </w:r>
      <w:r w:rsidR="0014524F">
        <w:t>профессиональная программа (программа повышения квалификации) "Требования промышленной безопасности к подъемным сооружениям"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31014), федерального государственного образовательного стандарта среднего профессионального образования по специальности 23.02.04 "Техническая эксплуатация подъемно-транспортных, строительных, дорожных машин и оборудования (по отраслям)" утвержденного приказом Минобрнауки России от 23 января 2018 г. N 45 (зарегистрирован Минюстом России 06 февраля 2018 г., регистрационный N 49942) (далее - ФГОС СПО по специальности 23.02.04), федерального государственного образовательного стандарта высшего образования по направлению подготовки 08.03.01 "Строительство", утвержденного приказом Минобрнауки России от 12 марта 2015 г. N 201 (зарегистрирован Минюстом России 07 апреля 2015 г., регистрационный N 36767) (далее - ФГОС ВО по направлению подготовки 08.03.01), федерального государственного образовательного стандарта среднего профессионального образования по профессии 190623.05 "Слесарь-электрик метрополитена", утвержденного приказом Минобрнауки России от 2 августа 2013 г. N 851 (зарегистрирован Минюстом России 20 августа 2013 г., регистрационный N 29677) (далее - ФГОС СПО по профессии 190623.05), федерального государственного образовательного стандарта среднего профессионального образования по профессии 150400.01 "Машинист крана металлургического производства" утвержденного приказом Минобрнауки России от 2 августа 2013 г. N 806 (зарегистрирован Минюстом России 20 августа 2013 г., регистрационный N 29675) (далее - ФГОС СПО по профессии 150400.01)</w:t>
      </w:r>
    </w:p>
    <w:p w:rsidR="006B24DE" w:rsidRDefault="006B24DE" w:rsidP="0014524F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5C2FB2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14524F" w:rsidRDefault="0014524F" w:rsidP="0014524F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знать: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эксплуатации опасных производственных объектов;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требования промышленной безопасности к эксплуатации подъемных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подъемных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методы снижения риска аварий, инцидентов, производственного травматизма на опасных производственных объектах;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уметь: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lastRenderedPageBreak/>
        <w:t>- организовывать безопасную эксплуатацию технических устройств, зданий и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обеспечивать исправное состояние оборудования, проведение своевременной экспертизы промышленной безопасности технических устройств, зданий и сооружений на опасных производственных объектах;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оценивать риск аварий на эксплуатируемом опасном производственном объекте и предупреждать риск инцидентов и аварий;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владеть: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выявления нарушений требований промышленной безопасности и принятия мер по их устранению и дальнейшему предупреждению;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</w:p>
    <w:p w:rsidR="00CD0DC8" w:rsidRDefault="0014524F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14524F">
        <w:rPr>
          <w:rFonts w:ascii="Times New Roman" w:hAnsi="Times New Roman" w:cs="Times New Roman"/>
          <w:sz w:val="28"/>
          <w:szCs w:val="28"/>
        </w:rPr>
        <w:t>план  повышения</w:t>
      </w:r>
      <w:proofErr w:type="gramEnd"/>
      <w:r w:rsidR="00CD0DC8">
        <w:rPr>
          <w:rFonts w:ascii="Times New Roman" w:hAnsi="Times New Roman" w:cs="Times New Roman"/>
          <w:sz w:val="28"/>
          <w:szCs w:val="28"/>
        </w:rPr>
        <w:t xml:space="preserve"> </w:t>
      </w:r>
      <w:r w:rsidRPr="0014524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5C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B2" w:rsidRDefault="005C2FB2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14524F" w:rsidRP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>"Требования промышленной безопасности</w:t>
      </w:r>
    </w:p>
    <w:p w:rsid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>к подъемным сооружениям"</w:t>
      </w:r>
    </w:p>
    <w:p w:rsidR="005C2FB2" w:rsidRDefault="005C2FB2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14524F" w:rsidRPr="0014524F" w:rsidRDefault="00ED5485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5485">
        <w:rPr>
          <w:rFonts w:ascii="Times New Roman" w:hAnsi="Times New Roman" w:cs="Times New Roman"/>
          <w:sz w:val="28"/>
          <w:szCs w:val="28"/>
        </w:rPr>
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530"/>
      </w:tblGrid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Pr="00ED5485" w:rsidRDefault="00ED5485" w:rsidP="005C2FB2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ED5485">
              <w:rPr>
                <w:rFonts w:ascii="Times New Roman" w:hAnsi="Times New Roman" w:cs="Times New Roman"/>
                <w:b w:val="0"/>
                <w:bCs w:val="0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14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  <w:jc w:val="both"/>
            </w:pPr>
            <w:r>
              <w:t>Итоговая аттестация (зачет)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2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14524F" w:rsidRDefault="0014524F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  <w:bookmarkStart w:id="0" w:name="_GoBack"/>
      <w:bookmarkEnd w:id="0"/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p w:rsidR="006B24DE" w:rsidRPr="005C2FB2" w:rsidRDefault="005C2FB2" w:rsidP="005C2FB2">
      <w:pPr>
        <w:pStyle w:val="ac"/>
        <w:numPr>
          <w:ilvl w:val="0"/>
          <w:numId w:val="13"/>
        </w:numPr>
        <w:rPr>
          <w:b/>
        </w:rPr>
      </w:pPr>
      <w:r>
        <w:t>П</w:t>
      </w:r>
      <w:r w:rsidRPr="005C2FB2">
        <w:t>риказ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</w:t>
      </w:r>
      <w:r>
        <w:t>92</w:t>
      </w:r>
    </w:p>
    <w:sectPr w:rsidR="006B24DE" w:rsidRPr="005C2FB2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6BC" w:rsidRDefault="003836BC" w:rsidP="00AF30E8">
      <w:pPr>
        <w:spacing w:line="240" w:lineRule="auto"/>
      </w:pPr>
      <w:r>
        <w:separator/>
      </w:r>
    </w:p>
  </w:endnote>
  <w:endnote w:type="continuationSeparator" w:id="0">
    <w:p w:rsidR="003836BC" w:rsidRDefault="003836BC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6BC" w:rsidRDefault="003836BC" w:rsidP="00AF30E8">
      <w:pPr>
        <w:spacing w:line="240" w:lineRule="auto"/>
      </w:pPr>
      <w:r>
        <w:separator/>
      </w:r>
    </w:p>
  </w:footnote>
  <w:footnote w:type="continuationSeparator" w:id="0">
    <w:p w:rsidR="003836BC" w:rsidRDefault="003836BC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02F7"/>
    <w:multiLevelType w:val="hybridMultilevel"/>
    <w:tmpl w:val="FB8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60C5"/>
    <w:multiLevelType w:val="hybridMultilevel"/>
    <w:tmpl w:val="555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101A1B"/>
    <w:rsid w:val="00111791"/>
    <w:rsid w:val="001231A7"/>
    <w:rsid w:val="0014524F"/>
    <w:rsid w:val="00164DC0"/>
    <w:rsid w:val="001665ED"/>
    <w:rsid w:val="001A62FD"/>
    <w:rsid w:val="001C49D3"/>
    <w:rsid w:val="001D0E36"/>
    <w:rsid w:val="001E5972"/>
    <w:rsid w:val="00211F68"/>
    <w:rsid w:val="00212F04"/>
    <w:rsid w:val="00275090"/>
    <w:rsid w:val="002C1E8E"/>
    <w:rsid w:val="002F3AAD"/>
    <w:rsid w:val="00300C41"/>
    <w:rsid w:val="00311EA0"/>
    <w:rsid w:val="00374CAB"/>
    <w:rsid w:val="003836BC"/>
    <w:rsid w:val="0041585C"/>
    <w:rsid w:val="00442836"/>
    <w:rsid w:val="0045144F"/>
    <w:rsid w:val="00452C6C"/>
    <w:rsid w:val="00453A15"/>
    <w:rsid w:val="004975A7"/>
    <w:rsid w:val="004A6450"/>
    <w:rsid w:val="004C10F7"/>
    <w:rsid w:val="004C3939"/>
    <w:rsid w:val="00564610"/>
    <w:rsid w:val="005C2FB2"/>
    <w:rsid w:val="005D218E"/>
    <w:rsid w:val="005D72AC"/>
    <w:rsid w:val="005E334E"/>
    <w:rsid w:val="00600062"/>
    <w:rsid w:val="00660111"/>
    <w:rsid w:val="006B1A3B"/>
    <w:rsid w:val="006B24DE"/>
    <w:rsid w:val="00713872"/>
    <w:rsid w:val="00725519"/>
    <w:rsid w:val="00754EFF"/>
    <w:rsid w:val="007C2AFE"/>
    <w:rsid w:val="007D1040"/>
    <w:rsid w:val="007E2774"/>
    <w:rsid w:val="007E2D6C"/>
    <w:rsid w:val="00821D92"/>
    <w:rsid w:val="00830ADD"/>
    <w:rsid w:val="008454AB"/>
    <w:rsid w:val="008554ED"/>
    <w:rsid w:val="0085734F"/>
    <w:rsid w:val="0087762D"/>
    <w:rsid w:val="00885489"/>
    <w:rsid w:val="008A2B25"/>
    <w:rsid w:val="008B2B0E"/>
    <w:rsid w:val="00992475"/>
    <w:rsid w:val="009932A1"/>
    <w:rsid w:val="009B1C12"/>
    <w:rsid w:val="009B46F3"/>
    <w:rsid w:val="009F7C3C"/>
    <w:rsid w:val="00A0137F"/>
    <w:rsid w:val="00A140A5"/>
    <w:rsid w:val="00A52FAE"/>
    <w:rsid w:val="00A55E54"/>
    <w:rsid w:val="00A662DD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7FC2"/>
    <w:rsid w:val="00C11B29"/>
    <w:rsid w:val="00C2393F"/>
    <w:rsid w:val="00C41062"/>
    <w:rsid w:val="00C53A52"/>
    <w:rsid w:val="00C60F90"/>
    <w:rsid w:val="00C624BE"/>
    <w:rsid w:val="00C82A2C"/>
    <w:rsid w:val="00C96A68"/>
    <w:rsid w:val="00CA2ACB"/>
    <w:rsid w:val="00CB4C4C"/>
    <w:rsid w:val="00CB54CE"/>
    <w:rsid w:val="00CD0DC8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5F07"/>
    <w:rsid w:val="00E6142E"/>
    <w:rsid w:val="00EB0F07"/>
    <w:rsid w:val="00EB1BD7"/>
    <w:rsid w:val="00ED5485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1493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E9C6-1E4C-4D01-B017-43A28122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23</cp:revision>
  <cp:lastPrinted>2019-11-26T10:37:00Z</cp:lastPrinted>
  <dcterms:created xsi:type="dcterms:W3CDTF">2018-10-30T09:02:00Z</dcterms:created>
  <dcterms:modified xsi:type="dcterms:W3CDTF">2019-11-26T10:38:00Z</dcterms:modified>
</cp:coreProperties>
</file>