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FC7ECF" w:rsidRPr="00111791" w:rsidRDefault="00FC7ECF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 w:rsidR="00FC7ECF">
        <w:rPr>
          <w:b/>
          <w:sz w:val="24"/>
          <w:szCs w:val="24"/>
        </w:rPr>
        <w:t>В.В</w:t>
      </w:r>
      <w:r w:rsidR="00AE7230" w:rsidRPr="00111791">
        <w:rPr>
          <w:b/>
          <w:sz w:val="24"/>
          <w:szCs w:val="24"/>
        </w:rPr>
        <w:t>. Селюков</w:t>
      </w:r>
      <w:r w:rsidR="00FC7ECF">
        <w:rPr>
          <w:b/>
          <w:sz w:val="24"/>
          <w:szCs w:val="24"/>
        </w:rPr>
        <w:t>а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9B46F3" w:rsidP="00AE7230">
      <w:pPr>
        <w:jc w:val="center"/>
        <w:rPr>
          <w:b/>
        </w:rPr>
      </w:pP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"ТРЕБОВАНИЯ ПРОМЫШЛЕННОЙ БЕЗОПАСНОСТИ К ОБОРУДОВАНИЮ,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РАБОТАЮЩЕМУ ПОД ДАВЛЕНИЕМ"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FC7ECF" w:rsidRPr="00E24031" w:rsidRDefault="00FC7ECF" w:rsidP="00FC7ECF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составлена на основании Приказа Федеральной службы по экологическому, технологическому и атомному надзору</w:t>
            </w:r>
          </w:p>
          <w:p w:rsidR="00FC7ECF" w:rsidRPr="00E24031" w:rsidRDefault="00FC7ECF" w:rsidP="00FC7ECF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 w:rsidRPr="00E24031">
              <w:rPr>
                <w:sz w:val="20"/>
                <w:szCs w:val="20"/>
              </w:rPr>
              <w:t>от 13 апреля 2020 года N 155</w:t>
            </w:r>
          </w:p>
          <w:p w:rsidR="00FC7ECF" w:rsidRDefault="00FC7ECF" w:rsidP="00FC7ECF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031">
              <w:rPr>
                <w:sz w:val="20"/>
                <w:szCs w:val="20"/>
              </w:rPr>
              <w:t>Об утверждении типовых дополнительных профессиональных программ в области промышленной безопасности</w:t>
            </w:r>
            <w:r>
              <w:rPr>
                <w:sz w:val="20"/>
                <w:szCs w:val="20"/>
              </w:rPr>
              <w:t>»</w:t>
            </w:r>
          </w:p>
          <w:p w:rsidR="00FC7ECF" w:rsidRDefault="00FC7ECF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C7ECF" w:rsidRPr="00FC7ECF" w:rsidRDefault="00FC7ECF" w:rsidP="00FC7ECF">
      <w:pPr>
        <w:shd w:val="clear" w:color="auto" w:fill="FFFFFF"/>
        <w:spacing w:line="315" w:lineRule="atLeast"/>
        <w:ind w:firstLine="708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FC7ECF">
        <w:rPr>
          <w:rFonts w:eastAsia="Times New Roman"/>
          <w:spacing w:val="2"/>
          <w:sz w:val="24"/>
          <w:szCs w:val="24"/>
          <w:lang w:eastAsia="ru-RU"/>
        </w:rPr>
        <w:t>Д</w:t>
      </w:r>
      <w:r w:rsidRPr="00FC7ECF">
        <w:rPr>
          <w:rFonts w:eastAsia="Times New Roman"/>
          <w:spacing w:val="2"/>
          <w:sz w:val="24"/>
          <w:szCs w:val="24"/>
          <w:lang w:eastAsia="ru-RU"/>
        </w:rPr>
        <w:t>ополнительная профессиональная программа (программа повышения квалификации) "Требования промышленной безопасности к оборудованию, работающему под давлением" (далее - ДПП) разработана в соответствии с нормами </w:t>
      </w:r>
      <w:hyperlink r:id="rId8" w:history="1">
        <w:r w:rsidRPr="00FC7ECF">
          <w:rPr>
            <w:rFonts w:eastAsia="Times New Roman"/>
            <w:spacing w:val="2"/>
            <w:sz w:val="24"/>
            <w:szCs w:val="24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Pr="00FC7ECF">
        <w:rPr>
          <w:rFonts w:eastAsia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2013, N 19, ст.2326; 2020, N 9, ст.1139), с учетом требований </w:t>
      </w:r>
      <w:hyperlink r:id="rId9" w:history="1">
        <w:r w:rsidRPr="00FC7ECF">
          <w:rPr>
            <w:rFonts w:eastAsia="Times New Roman"/>
            <w:spacing w:val="2"/>
            <w:sz w:val="24"/>
            <w:szCs w:val="24"/>
            <w:lang w:eastAsia="ru-RU"/>
          </w:rPr>
          <w:t>приказа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  <w:r w:rsidRPr="00FC7ECF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20 августа 2013 г., регистрационный N 29444), с изменением, внесенным </w:t>
      </w:r>
      <w:hyperlink r:id="rId10" w:history="1">
        <w:r w:rsidRPr="00FC7ECF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</w:t>
        </w:r>
      </w:hyperlink>
      <w:r w:rsidRPr="00FC7ECF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14 января 2014 г., регистрационный N 31014).</w:t>
      </w:r>
      <w:r w:rsidRPr="00FC7ECF">
        <w:rPr>
          <w:rFonts w:eastAsia="Times New Roman"/>
          <w:spacing w:val="2"/>
          <w:sz w:val="24"/>
          <w:szCs w:val="24"/>
          <w:lang w:eastAsia="ru-RU"/>
        </w:rPr>
        <w:br/>
      </w:r>
    </w:p>
    <w:p w:rsidR="006B24DE" w:rsidRDefault="006B24DE" w:rsidP="00C52B38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</w:p>
    <w:p w:rsidR="00FC7ECF" w:rsidRPr="006D545C" w:rsidRDefault="00FC7ECF" w:rsidP="00FC7ECF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К освоению ДПП допускаются</w:t>
      </w:r>
      <w:r w:rsidRPr="006D545C">
        <w:rPr>
          <w:rFonts w:eastAsia="Times New Roman"/>
          <w:b/>
          <w:bCs/>
          <w:color w:val="000000"/>
          <w:sz w:val="24"/>
          <w:u w:val="single"/>
          <w:lang w:eastAsia="ru-RU"/>
        </w:rPr>
        <w:t>:</w:t>
      </w:r>
    </w:p>
    <w:p w:rsidR="00FC7ECF" w:rsidRDefault="00FC7ECF" w:rsidP="00FC7ECF">
      <w:pPr>
        <w:shd w:val="clear" w:color="auto" w:fill="FFFFFF"/>
        <w:spacing w:line="315" w:lineRule="atLeast"/>
        <w:jc w:val="left"/>
        <w:textAlignment w:val="baseline"/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- лица, имеющие среднее профессиональное и (или) высшее образование;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лица, получающие среднее профессиональное и (или) высшее образование.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- о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бучающимися по ДПП могут быть работники опасных производственных объектов или иные лица (далее - слушатели).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6D545C">
        <w:rPr>
          <w:rFonts w:eastAsia="Times New Roman"/>
          <w:b/>
          <w:bCs/>
          <w:sz w:val="24"/>
          <w:szCs w:val="24"/>
          <w:u w:val="single"/>
        </w:rPr>
        <w:t>Категория слушателей</w:t>
      </w:r>
      <w:r w:rsidRPr="006D545C">
        <w:rPr>
          <w:rFonts w:eastAsia="Times New Roman"/>
          <w:sz w:val="24"/>
          <w:szCs w:val="24"/>
        </w:rPr>
        <w:t xml:space="preserve"> – </w:t>
      </w:r>
      <w:r w:rsidRPr="006D545C">
        <w:rPr>
          <w:sz w:val="24"/>
          <w:szCs w:val="24"/>
        </w:rPr>
        <w:t>работники в области промышленной безопасности или иные лица (далее - слушатели).</w:t>
      </w:r>
    </w:p>
    <w:p w:rsidR="00FC7ECF" w:rsidRPr="004C4EF6" w:rsidRDefault="00FC7ECF" w:rsidP="00FC7ECF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FC7ECF" w:rsidRDefault="00FC7ECF" w:rsidP="00FC7ECF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ab/>
        <w:t xml:space="preserve">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>7</w:t>
      </w:r>
      <w:r>
        <w:rPr>
          <w:rFonts w:eastAsia="Times New Roman"/>
          <w:b/>
          <w:sz w:val="24"/>
        </w:rPr>
        <w:t>2</w:t>
      </w:r>
      <w:proofErr w:type="gramEnd"/>
      <w:r>
        <w:rPr>
          <w:rFonts w:eastAsia="Times New Roman"/>
          <w:sz w:val="24"/>
        </w:rPr>
        <w:t xml:space="preserve"> час. </w:t>
      </w:r>
    </w:p>
    <w:p w:rsidR="00FC7ECF" w:rsidRDefault="00FC7ECF" w:rsidP="00FC7ECF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FC7ECF" w:rsidRPr="004C4EF6" w:rsidRDefault="00FC7ECF" w:rsidP="00FC7ECF">
      <w:pPr>
        <w:spacing w:after="12" w:line="269" w:lineRule="auto"/>
        <w:ind w:firstLine="708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 xml:space="preserve">Программа предполагает форму обучения в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очно-заочной, заочной формах обучения с применением электронного обучения и дистанционных образовательных технологий</w:t>
      </w:r>
      <w:r>
        <w:rPr>
          <w:rFonts w:eastAsia="Times New Roman"/>
          <w:sz w:val="24"/>
        </w:rPr>
        <w:t>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FC7ECF" w:rsidRPr="001E5136" w:rsidRDefault="00FC7ECF" w:rsidP="00FC7ECF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FC7ECF" w:rsidRDefault="00FC7ECF" w:rsidP="00FC7ECF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FC7ECF" w:rsidRPr="00821D92" w:rsidRDefault="00FC7ECF" w:rsidP="00FC7ECF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FC7ECF" w:rsidRDefault="00FC7ECF" w:rsidP="00FC7ECF">
      <w:pPr>
        <w:pStyle w:val="ConsPlusNormal"/>
        <w:ind w:firstLine="540"/>
        <w:jc w:val="both"/>
      </w:pPr>
    </w:p>
    <w:p w:rsidR="00FC7ECF" w:rsidRDefault="00FC7ECF" w:rsidP="00FC7ECF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 зачета.</w:t>
      </w:r>
    </w:p>
    <w:p w:rsidR="00FC7ECF" w:rsidRDefault="00FC7ECF" w:rsidP="00FC7ECF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FC7ECF" w:rsidRDefault="00FC7ECF" w:rsidP="00FC7ECF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FC7ECF" w:rsidRDefault="00FC7ECF" w:rsidP="00FC7ECF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lastRenderedPageBreak/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21405E" w:rsidRPr="00E24031" w:rsidRDefault="0021405E" w:rsidP="0021405E">
      <w:pPr>
        <w:shd w:val="clear" w:color="auto" w:fill="FFFFFF"/>
        <w:spacing w:line="315" w:lineRule="atLeast"/>
        <w:ind w:firstLine="708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Целью обучения слушателей по ДПП является совершенствование компетенций, необходимых для профессиональной деятельности работников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spacing w:val="2"/>
          <w:sz w:val="24"/>
          <w:szCs w:val="24"/>
          <w:lang w:eastAsia="ru-RU"/>
        </w:rPr>
        <w:t>В ходе освоения ДПП слушателем совершенствуются следующие профессиональные компетенции согласно </w:t>
      </w:r>
      <w:hyperlink r:id="rId11" w:history="1">
        <w:r w:rsidRPr="0021405E">
          <w:rPr>
            <w:rFonts w:eastAsia="Times New Roman"/>
            <w:spacing w:val="2"/>
            <w:sz w:val="24"/>
            <w:szCs w:val="24"/>
            <w:lang w:eastAsia="ru-RU"/>
          </w:rPr>
          <w:t>федеральному государственному образовательному стандарту высшего образования по направлению подготовки 15.02.01 "Монтаж и техническая эксплуатация промышленного оборудования"</w:t>
        </w:r>
      </w:hyperlink>
      <w:r w:rsidRPr="0021405E">
        <w:rPr>
          <w:rFonts w:eastAsia="Times New Roman"/>
          <w:spacing w:val="2"/>
          <w:sz w:val="24"/>
          <w:szCs w:val="24"/>
          <w:lang w:eastAsia="ru-RU"/>
        </w:rPr>
        <w:t>, утвержденному </w:t>
      </w:r>
      <w:hyperlink r:id="rId12" w:history="1">
        <w:r w:rsidRPr="0021405E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18 апреля 2014 г. N 344</w:t>
        </w:r>
      </w:hyperlink>
      <w:r w:rsidRPr="0021405E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17 июля 2014 г., регистрационный N 33140), с изменениями, внесенными </w:t>
      </w:r>
      <w:hyperlink r:id="rId13" w:history="1">
        <w:r w:rsidRPr="0021405E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13 марта 2015 г.* N 247 "О внесении изменений в федеральные государственные образовательные стандарты среднего профессионального образования"</w:t>
        </w:r>
      </w:hyperlink>
      <w:r w:rsidRPr="0021405E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3 апреля 2015 г., регистрационный N 36713), и </w:t>
      </w:r>
      <w:hyperlink r:id="rId14" w:history="1">
        <w:r w:rsidRPr="0021405E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просвещения Российской Федерации от 21 октября 2019 г. N 569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</w:t>
        </w:r>
      </w:hyperlink>
      <w:r w:rsidRPr="0021405E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26 ноября 2019 г. N 56633):</w:t>
      </w:r>
      <w:r w:rsidRPr="0021405E">
        <w:rPr>
          <w:rFonts w:eastAsia="Times New Roman"/>
          <w:spacing w:val="2"/>
          <w:sz w:val="24"/>
          <w:szCs w:val="24"/>
          <w:lang w:eastAsia="ru-RU"/>
        </w:rPr>
        <w:br/>
        <w:t>_____________</w:t>
      </w:r>
      <w:r w:rsidRPr="0021405E">
        <w:rPr>
          <w:rFonts w:eastAsia="Times New Roman"/>
          <w:spacing w:val="2"/>
          <w:sz w:val="24"/>
          <w:szCs w:val="24"/>
          <w:lang w:eastAsia="ru-RU"/>
        </w:rPr>
        <w:br/>
        <w:t>* Вероятно, ошибка оригинала. Следует читать "от 17 марта 2015 г.". - Примечание изготовителя базы данных.</w:t>
      </w:r>
      <w:r w:rsidRPr="0021405E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организация работ по монтажу, ремонту и пуско-наладочным работам промышленного оборудования: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производить пуско-наладочные работы и испытания промышленного оборудования после ремонта и монтажа (ПК 1.4.);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составлять документацию для проведения работ по монтажу и ремонту промышленного оборудования (ПК 1.5.);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организация и выполнение работ по эксплуатации промышленного оборудования: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выбирать методы регулировки и наладки промышленного оборудования в зависимости от внешних факторов (ПК 2.2.);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организация работ по эксплуатации промышленного оборудования: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работу по устранению недостатков, выявленных в процессе эксплуатации промышленного оборудования (ПК 2.3.);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составлять документацию для проведения работ по эксплуатации промышленного оборудования (ПК 2.5.).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Карта компетенции раскрывает компонентный состав компетенции, технологии ее формирования и оценки: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21405E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дисциплинарная карта компетенции ПК 1.4.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21405E" w:rsidRPr="00E24031" w:rsidTr="00FC64A9">
        <w:trPr>
          <w:trHeight w:val="15"/>
        </w:trPr>
        <w:tc>
          <w:tcPr>
            <w:tcW w:w="6283" w:type="dxa"/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405E" w:rsidRPr="00E24031" w:rsidTr="00FC64A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1.4.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производить пуско-наладочные работы и испытания промышленного оборудования после ремонта и монтажа</w:t>
            </w:r>
          </w:p>
        </w:tc>
      </w:tr>
      <w:tr w:rsidR="0021405E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21405E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21405E" w:rsidRPr="0021405E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дисциплинарная карта компетенции ПК 1.5.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21405E" w:rsidRPr="00E24031" w:rsidTr="00FC64A9">
        <w:trPr>
          <w:trHeight w:val="15"/>
        </w:trPr>
        <w:tc>
          <w:tcPr>
            <w:tcW w:w="6283" w:type="dxa"/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405E" w:rsidRPr="00E24031" w:rsidTr="00FC64A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1.5.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составлять документацию для проведения работ по монтажу и ремонту промышленного оборудования</w:t>
            </w:r>
          </w:p>
        </w:tc>
      </w:tr>
      <w:tr w:rsidR="0021405E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21405E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21405E" w:rsidRPr="0021405E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дисциплинарная карта компетенции ПК 2.2.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21405E" w:rsidRPr="00E24031" w:rsidTr="00FC64A9">
        <w:trPr>
          <w:trHeight w:val="15"/>
        </w:trPr>
        <w:tc>
          <w:tcPr>
            <w:tcW w:w="6283" w:type="dxa"/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405E" w:rsidRPr="00E24031" w:rsidTr="00FC64A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2.2.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выбирать методы регулировки и наладки промышленного оборудования в зависимости от внешних факторов</w:t>
            </w:r>
          </w:p>
        </w:tc>
      </w:tr>
      <w:tr w:rsidR="0021405E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21405E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21405E" w:rsidRPr="0021405E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дисциплинарная карта компетенции ПК 2.3.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21405E" w:rsidRPr="00E24031" w:rsidTr="00FC64A9">
        <w:trPr>
          <w:trHeight w:val="15"/>
        </w:trPr>
        <w:tc>
          <w:tcPr>
            <w:tcW w:w="6283" w:type="dxa"/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405E" w:rsidRPr="00E24031" w:rsidTr="00FC64A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2.3.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организовывать работу по устранению недостатков, выявленных в процессе эксплуатации промышленного оборудования</w:t>
            </w:r>
          </w:p>
        </w:tc>
      </w:tr>
      <w:tr w:rsidR="0021405E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21405E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21405E" w:rsidRPr="0021405E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дисциплинарная карта компетенции ПК 2.5.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21405E" w:rsidRPr="00E24031" w:rsidTr="00FC64A9">
        <w:trPr>
          <w:trHeight w:val="15"/>
        </w:trPr>
        <w:tc>
          <w:tcPr>
            <w:tcW w:w="6283" w:type="dxa"/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1405E" w:rsidRPr="00E24031" w:rsidTr="00FC64A9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 2.5.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составлять документацию для проведения работ по эксплуатации промышленного оборудования</w:t>
            </w:r>
          </w:p>
        </w:tc>
      </w:tr>
      <w:tr w:rsidR="0021405E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21405E" w:rsidRPr="00E24031" w:rsidTr="00FC64A9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21405E" w:rsidRDefault="0021405E" w:rsidP="0021405E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21405E" w:rsidRPr="0021405E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В результате освоения ДПП слушатель: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должен знать: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нормативно-правовую базу в области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общие требования промышленной безопасности в отношении эксплуатации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- требования промышленной безопасности к эксплуатации оборудования работающего под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избыточным давлением;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функции и полномочия органов государственного надзора и контроля за соблюдением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методы снижения риска аварий, инцидентов, производственного травматизма на опасных производственных объектах;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должен уметь: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пользоваться нормативно-правовой документацией, регламентирующей деятельность в области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безопасную эксплуатацию технических устройств, зданий и сооружений;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работу по подготовке проведения экспертизы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работу по планированию и осуществлению мероприятий по локализации и ликвидации последствий аварий на опасных производственных объектах;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подготовку сведений по осуществлению производственного контроля на опасных производственных объектов для направления в территориальный орган Ростехнадзора;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подготовку и аттестацию работников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обеспечивать проведение контроля за соблюдением работниками опасных производственных объектов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должен владеть: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21405E">
        <w:rPr>
          <w:rFonts w:eastAsia="Times New Roman"/>
          <w:color w:val="2D2D2D"/>
          <w:spacing w:val="2"/>
          <w:sz w:val="24"/>
          <w:szCs w:val="24"/>
          <w:lang w:eastAsia="ru-RU"/>
        </w:rPr>
        <w:t>- навыками использования в работе нормативно-технической документации;</w:t>
      </w:r>
      <w:r w:rsidRPr="0021405E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навыками выявления нарушений требований промышленной безопасности (опасные факторы на рабочих местах) и принятия мер по их устранению и дальнейшему предупреждению;</w:t>
      </w:r>
      <w:r w:rsidRPr="0021405E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21405E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навыками проведения анализа причин возникновения аварий и инцидентов на опасных производственных объектах.</w:t>
      </w:r>
    </w:p>
    <w:p w:rsidR="0021405E" w:rsidRDefault="0021405E" w:rsidP="0021405E">
      <w:pPr>
        <w:pStyle w:val="ConsPlusTitle"/>
        <w:jc w:val="center"/>
        <w:outlineLvl w:val="1"/>
        <w:rPr>
          <w:rFonts w:ascii="Times New Roman" w:eastAsia="Times New Roman" w:hAnsi="Times New Roman" w:cs="Times New Roman"/>
          <w:color w:val="2D2D2D"/>
          <w:spacing w:val="2"/>
        </w:rPr>
      </w:pPr>
    </w:p>
    <w:p w:rsidR="00C52B38" w:rsidRPr="00C52B38" w:rsidRDefault="00C52B38" w:rsidP="002140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2B38">
        <w:rPr>
          <w:rFonts w:ascii="Times New Roman" w:hAnsi="Times New Roman" w:cs="Times New Roman"/>
          <w:sz w:val="28"/>
          <w:szCs w:val="28"/>
        </w:rPr>
        <w:t>Учебный план программы повышения</w:t>
      </w:r>
    </w:p>
    <w:p w:rsidR="00C52B38" w:rsidRPr="00C52B38" w:rsidRDefault="00C52B38" w:rsidP="00C52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2B38">
        <w:rPr>
          <w:rFonts w:ascii="Times New Roman" w:hAnsi="Times New Roman" w:cs="Times New Roman"/>
          <w:sz w:val="28"/>
          <w:szCs w:val="28"/>
        </w:rPr>
        <w:t>квалификации "Требования промышленной безопасности</w:t>
      </w:r>
    </w:p>
    <w:p w:rsidR="00C52B38" w:rsidRPr="00C52B38" w:rsidRDefault="00C52B38" w:rsidP="00C52B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2B38">
        <w:rPr>
          <w:rFonts w:ascii="Times New Roman" w:hAnsi="Times New Roman" w:cs="Times New Roman"/>
          <w:sz w:val="28"/>
          <w:szCs w:val="28"/>
        </w:rPr>
        <w:t>к оборудованию, работающему под давлением"</w:t>
      </w:r>
    </w:p>
    <w:p w:rsidR="00C52B38" w:rsidRDefault="00C52B38" w:rsidP="00C52B38">
      <w:pPr>
        <w:pStyle w:val="ConsPlusNormal"/>
        <w:ind w:firstLine="540"/>
        <w:jc w:val="both"/>
      </w:pPr>
    </w:p>
    <w:p w:rsidR="009B46F3" w:rsidRDefault="009B46F3" w:rsidP="009B46F3">
      <w:pPr>
        <w:pStyle w:val="ConsPlusNormal"/>
        <w:ind w:firstLine="5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6398"/>
        <w:gridCol w:w="1997"/>
        <w:gridCol w:w="1463"/>
      </w:tblGrid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N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Наименование учебных предметов, курсов, дисциплин (модулей)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Общие требования промышленной безопасности в Российской Федерации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Эксплуатация оборудования, работающего под давлением, на опасных производственных объектах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Эксплуатация сосудов, работающих под давлением, на опасных производственных объектах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05E" w:rsidRPr="00E24031" w:rsidRDefault="0021405E" w:rsidP="00FC64A9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зачет</w:t>
            </w:r>
          </w:p>
        </w:tc>
      </w:tr>
      <w:tr w:rsidR="0021405E" w:rsidRPr="00E24031" w:rsidTr="0021405E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21405E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21405E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21405E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405E" w:rsidRPr="00E24031" w:rsidRDefault="0021405E" w:rsidP="0021405E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21405E" w:rsidRDefault="0021405E" w:rsidP="0021405E">
      <w:pPr>
        <w:shd w:val="clear" w:color="auto" w:fill="FFFFFF"/>
        <w:spacing w:before="375" w:after="225" w:line="240" w:lineRule="auto"/>
        <w:textAlignment w:val="baseline"/>
        <w:outlineLvl w:val="2"/>
        <w:rPr>
          <w:rFonts w:eastAsia="Times New Roman"/>
          <w:color w:val="4C4C4C"/>
          <w:spacing w:val="2"/>
          <w:sz w:val="24"/>
          <w:szCs w:val="24"/>
          <w:lang w:eastAsia="ru-RU"/>
        </w:rPr>
      </w:pPr>
    </w:p>
    <w:p w:rsidR="0021405E" w:rsidRPr="0021405E" w:rsidRDefault="0021405E" w:rsidP="002140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С</w:t>
      </w:r>
      <w:r w:rsidRPr="0021405E"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одержание рабочей программы учебных предметов, курсов, дисциплин (модулей) "Требования промышленной безопасности к оборудованию, работающему под давлением"</w:t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1. Общие требования промышленной безопасности в Российской Федерации.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Промышленная безопасность, основные понятия. Правовое регулирование в области промышленной безопасности. Требования к эксплуатации опасных производственных объектов в соответствии с законодательством Российской Федерации в области промышленной безопасности.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Организация производственного контроля за соблюдением требований промышленной безопасности.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Информационно-коммуникационные технологии деятельности специалиста в области промышленной безопасности. Управление промышленной безопасностью на опасных производственных объектах.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Порядок проведения экспертизы промышленной безопасности. Работы, выполняемые при проведении экспертизы промышленной безопасности.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Риск-ориентированный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2. Эксплуатация оборудования, работающего под давлением, на опасных производственных объектах.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организациям, осуществляющим эксплуатацию оборудования под давлением. Требования к работникам организаций, осуществляющих эксплуатацию оборудования под давлением. Порядок ввода в эксплуатацию оборудования, работающего под давлением. Порядок действий в случаях аварии или инцидента при эксплуатации оборудования под давлением. Общие требования проведения технического освидетельствования и технического диагностирования оборудования, работающего под избыточным давлением. Экспертиза промышленной безопасности и техническое диагностирование оборудования, работающего под давлением.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3. Эксплуатация котлов (паровых, водогрейных, с органическими и неорганическими теплоносителями) на опасных производственных объектах.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Требования к установке, размещению и обвязке котлов и вспомогательного оборудования котельной установки. Требования к эксплуатации паровых и водогрейных котлов. Дополнительные требования промышленной безопасности к эксплуатации котлов, работающих с органическими и неорганическими теплоносителями. Дополнительные требования промышленной безопасности к эксплуатации содорегенерационных котлов. Дополнительные требования промышленной безопасности к эксплуатации газотрубных котлов. Дополнительные требования промышленной безопасности к эксплуатации электрических котлов. Требования к котлам, с высокотемпературными органическими теплоносителями. Порядок составления и использования инструкций и режимных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 xml:space="preserve">карт по ведению водно-химического режима и по эксплуатации водоподготовительной установки (установок) </w:t>
      </w:r>
      <w:proofErr w:type="spellStart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докотловой</w:t>
      </w:r>
      <w:proofErr w:type="spellEnd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обработки воды. Техническое освидетельствование котлов.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4. Эксплуатация трубопроводов пара и горячей воды на опасных производственных объектах.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эксплуатации трубопроводов пара и горячей воды на опасных производственных объектах. Порядок ввода в эксплуатацию и пуска (включения) в работу трубопроводов пара и горячей воды. Порядок учета трубопроводов пара и горячей воды в соответствующих инстанциях. Прокладка (размещение) трубопроводов пара и горячей воды на опасных производственных объектах. Техническое освидетельствование трубопроводов пара и горячей воды на опасных производственных объектах. Требования по контролю металла и продлению срока службы основных элементов трубопроводов пара и горячей воды на опасных производственных объектах. Основные нормы и правила расчета на прочность трубопроводов пара и горячей воды.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5. Эксплуатация сосудов, работающих под давлением, на опасных производственных объектах.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эксплуатации сосудов под давлением. Установка, размещение и обвязка сосудов. Техническое освидетельствование и техническое диагностирование сосудов. Дополнительные требования промышленной безопасности к эксплуатации цистерн и бочек для перевозки сжиженных газов. Порядок учета сосудов, работающих под давлением. Установка запорных и запорно-регулирующих арматур на сосудах.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6. Эксплуатация медицинских и водолазных барокамер на опасных производственных объектах.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одноместным медицинским барокамерам. Требования к многоместным медицинским барокамерам. Требования к размещению барокамер на опасных производственных объектах. Эксплуатация медицинских барокамер. Дополнительные требования промышленной безопасности к водолазным барокамерам.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21405E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7.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объектах.</w:t>
      </w:r>
      <w:r w:rsidRPr="0021405E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Оснащение баллонов. Окраска баллонов. Мероприятия, проводимые в рамках освидетельствования баллонов (осмотр внутренней и наружной поверхностей баллонов с целью выявления на их стенках коррозии, трещин, плен, вмятин и других повреждений). Документирование результатов освидетельствования баллонов. Эксплуатация баллонов. Требования к освидетельствованию баллонов. Присвоение клейма с индивидуальным шифром.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461CE6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61CE6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8.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объектах.</w:t>
      </w:r>
      <w:r w:rsidRPr="00461CE6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Требования нормативных документов к техническому перевооружению опасного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производственного объекта, монтажу, ремонту, реконструкции (модернизации), наладке установке, размещению и обвязке оборудования под давлением. Требования к организациям, осуществляющим монтаж, ремонт, реконструкцию (модернизацию), наладку оборудования. Требования к работникам организаций, осуществляющих монтаж, ремонт, реконструкцию (модернизацию), наладку оборудования. Требования к монтажу, ремонту и реконструкции (модернизации) оборудования. Сварка и контроль качества сварных соединений. Проведение гидравлических (пневматических) испытаний. Контроль качества выполненных работ. Требования к итоговой документации. Требования к наладке Проведение Обеспечение* безопасности машин и оборудования при разработке (проектировании). Обеспечение безопасности машин и оборудования при изготовлении, хранении, транспортировании, эксплуатации и утилизации. Обеспечение соответствия требованиям безопасности.</w:t>
      </w:r>
    </w:p>
    <w:p w:rsidR="0021405E" w:rsidRPr="00E24031" w:rsidRDefault="0021405E" w:rsidP="0021405E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________________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* Текст документа соответствует оригиналу. - Примечание изготовителя базы данных.</w:t>
      </w:r>
    </w:p>
    <w:p w:rsidR="0021405E" w:rsidRPr="00E24031" w:rsidRDefault="0021405E" w:rsidP="0021405E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21405E" w:rsidRPr="00E24031" w:rsidRDefault="0021405E" w:rsidP="00461CE6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61CE6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9. Требования к производству сварочных работ на опасных производственных объектах.</w:t>
      </w:r>
      <w:r w:rsidRPr="00461CE6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9B46F3" w:rsidRDefault="00754EFF" w:rsidP="00CB54CE">
      <w:pPr>
        <w:jc w:val="center"/>
        <w:rPr>
          <w:b/>
        </w:rPr>
      </w:pPr>
      <w:bookmarkStart w:id="0" w:name="_GoBack"/>
      <w:bookmarkEnd w:id="0"/>
      <w:r>
        <w:rPr>
          <w:b/>
        </w:rPr>
        <w:t>РЕКОМЕНДУЕМАЯ ЛИТЕРАТУРА: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7"/>
      </w:tblGrid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 xml:space="preserve"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>
              <w:t>докотловой</w:t>
            </w:r>
            <w:proofErr w:type="spellEnd"/>
            <w:r>
              <w:t xml:space="preserve"> обработки воды и по ведению водно-химического режима паровых и водогрейных котлов" (РД 10-179-98)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lastRenderedPageBreak/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 xml:space="preserve"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>
              <w:t>докотловой</w:t>
            </w:r>
            <w:proofErr w:type="spellEnd"/>
            <w:r>
              <w:t xml:space="preserve"> обработки воды и по ведению водно-химического режима паровых и водогрейных котлов" (РД 10-179-98)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C52B38" w:rsidTr="00C52B38">
        <w:tc>
          <w:tcPr>
            <w:tcW w:w="11057" w:type="dxa"/>
            <w:vAlign w:val="center"/>
          </w:tcPr>
          <w:p w:rsidR="00C52B38" w:rsidRDefault="00C52B38" w:rsidP="00C52B38">
            <w:pPr>
              <w:pStyle w:val="ConsPlusNormal"/>
              <w:numPr>
                <w:ilvl w:val="0"/>
                <w:numId w:val="12"/>
              </w:numPr>
              <w:jc w:val="both"/>
            </w:pPr>
            <w:r>
              <w:t xml:space="preserve"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</w:t>
            </w:r>
            <w:r>
              <w:lastRenderedPageBreak/>
              <w:t>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</w:tbl>
    <w:p w:rsidR="00C52B38" w:rsidRDefault="00C52B38" w:rsidP="00CB54CE">
      <w:pPr>
        <w:jc w:val="center"/>
        <w:rPr>
          <w:b/>
        </w:rPr>
      </w:pPr>
    </w:p>
    <w:p w:rsidR="006B24DE" w:rsidRDefault="006B24DE" w:rsidP="00CB54CE">
      <w:pPr>
        <w:jc w:val="center"/>
        <w:rPr>
          <w:b/>
        </w:rPr>
      </w:pPr>
    </w:p>
    <w:sectPr w:rsidR="006B24DE" w:rsidSect="005D72AC">
      <w:footerReference w:type="default" r:id="rId15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D4" w:rsidRDefault="002501D4" w:rsidP="00AF30E8">
      <w:pPr>
        <w:spacing w:line="240" w:lineRule="auto"/>
      </w:pPr>
      <w:r>
        <w:separator/>
      </w:r>
    </w:p>
  </w:endnote>
  <w:endnote w:type="continuationSeparator" w:id="0">
    <w:p w:rsidR="002501D4" w:rsidRDefault="002501D4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D4" w:rsidRDefault="002501D4" w:rsidP="00AF30E8">
      <w:pPr>
        <w:spacing w:line="240" w:lineRule="auto"/>
      </w:pPr>
      <w:r>
        <w:separator/>
      </w:r>
    </w:p>
  </w:footnote>
  <w:footnote w:type="continuationSeparator" w:id="0">
    <w:p w:rsidR="002501D4" w:rsidRDefault="002501D4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636FCF"/>
    <w:multiLevelType w:val="hybridMultilevel"/>
    <w:tmpl w:val="3D344E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1405E"/>
    <w:rsid w:val="002501D4"/>
    <w:rsid w:val="00275090"/>
    <w:rsid w:val="00285E8B"/>
    <w:rsid w:val="002C1E8E"/>
    <w:rsid w:val="00300C41"/>
    <w:rsid w:val="00311EA0"/>
    <w:rsid w:val="00374CAB"/>
    <w:rsid w:val="0041585C"/>
    <w:rsid w:val="00442836"/>
    <w:rsid w:val="00452C6C"/>
    <w:rsid w:val="00453A15"/>
    <w:rsid w:val="00461CE6"/>
    <w:rsid w:val="004975A7"/>
    <w:rsid w:val="004A6450"/>
    <w:rsid w:val="004C10F7"/>
    <w:rsid w:val="004C3939"/>
    <w:rsid w:val="00564610"/>
    <w:rsid w:val="005D218E"/>
    <w:rsid w:val="005D72AC"/>
    <w:rsid w:val="005E334E"/>
    <w:rsid w:val="00600062"/>
    <w:rsid w:val="006B1A3B"/>
    <w:rsid w:val="006B24DE"/>
    <w:rsid w:val="00713872"/>
    <w:rsid w:val="00725519"/>
    <w:rsid w:val="00754EFF"/>
    <w:rsid w:val="007B2AA7"/>
    <w:rsid w:val="007C2AFE"/>
    <w:rsid w:val="007D1040"/>
    <w:rsid w:val="007E2774"/>
    <w:rsid w:val="007E2D6C"/>
    <w:rsid w:val="00821893"/>
    <w:rsid w:val="00821D92"/>
    <w:rsid w:val="00830ADD"/>
    <w:rsid w:val="008454AB"/>
    <w:rsid w:val="008554ED"/>
    <w:rsid w:val="0085734F"/>
    <w:rsid w:val="0087762D"/>
    <w:rsid w:val="00885489"/>
    <w:rsid w:val="008A2B25"/>
    <w:rsid w:val="008B2B0E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E7CD8"/>
    <w:rsid w:val="00BF7FC2"/>
    <w:rsid w:val="00C11B29"/>
    <w:rsid w:val="00C2393F"/>
    <w:rsid w:val="00C52B38"/>
    <w:rsid w:val="00C53A52"/>
    <w:rsid w:val="00C60F90"/>
    <w:rsid w:val="00C82A2C"/>
    <w:rsid w:val="00C96A68"/>
    <w:rsid w:val="00CA2ACB"/>
    <w:rsid w:val="00CB4C4C"/>
    <w:rsid w:val="00CB54CE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5F07"/>
    <w:rsid w:val="00E6142E"/>
    <w:rsid w:val="00EB0F07"/>
    <w:rsid w:val="00EB1BD7"/>
    <w:rsid w:val="00F31BB7"/>
    <w:rsid w:val="00F92D40"/>
    <w:rsid w:val="00FA2B95"/>
    <w:rsid w:val="00FC7ECF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9F5A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202645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942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942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99061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2387" TargetMode="External"/><Relationship Id="rId14" Type="http://schemas.openxmlformats.org/officeDocument/2006/relationships/hyperlink" Target="http://docs.cntd.ru/document/563862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591E-5F2C-4766-83F8-0B59BCA3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20</cp:revision>
  <cp:lastPrinted>2020-09-22T08:20:00Z</cp:lastPrinted>
  <dcterms:created xsi:type="dcterms:W3CDTF">2018-10-30T09:02:00Z</dcterms:created>
  <dcterms:modified xsi:type="dcterms:W3CDTF">2020-09-22T08:20:00Z</dcterms:modified>
</cp:coreProperties>
</file>