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E856AF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E72E82" w:rsidRDefault="00814789" w:rsidP="00E72E82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</w:p>
    <w:p w:rsidR="00814789" w:rsidRPr="00814789" w:rsidRDefault="00E72E82" w:rsidP="00E7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МЕТАЛЛУРГИЧЕСКОЙ</w:t>
      </w:r>
      <w:r w:rsidRPr="00814789">
        <w:rPr>
          <w:b/>
          <w:sz w:val="24"/>
          <w:szCs w:val="24"/>
        </w:rPr>
        <w:t xml:space="preserve"> </w:t>
      </w:r>
      <w:r w:rsidR="00814789" w:rsidRPr="00814789">
        <w:rPr>
          <w:b/>
          <w:sz w:val="24"/>
          <w:szCs w:val="24"/>
        </w:rPr>
        <w:t>ПРОМЫШЛЕННОСТИ"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Default="00E856AF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856AF" w:rsidRPr="00E72E82" w:rsidRDefault="00E856AF" w:rsidP="00AE7230">
      <w:pPr>
        <w:jc w:val="center"/>
        <w:rPr>
          <w:b/>
          <w:bCs/>
          <w:sz w:val="24"/>
          <w:szCs w:val="24"/>
        </w:rPr>
      </w:pPr>
      <w:r w:rsidRPr="00E72E82">
        <w:rPr>
          <w:b/>
          <w:bCs/>
        </w:rPr>
        <w:t>«</w:t>
      </w:r>
      <w:r w:rsidR="00E72E82" w:rsidRPr="00E72E82">
        <w:rPr>
          <w:b/>
          <w:bCs/>
        </w:rPr>
        <w:t>Производство с полным металлургическим циклом</w:t>
      </w:r>
      <w:r w:rsidRPr="00E72E82"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72E82" w:rsidRDefault="00E71F46" w:rsidP="00E72E82">
      <w:pPr>
        <w:pStyle w:val="ConsPlusNormal"/>
        <w:ind w:firstLine="540"/>
        <w:jc w:val="both"/>
      </w:pPr>
      <w:r>
        <w:t>Д</w:t>
      </w:r>
      <w:r w:rsidR="00814789">
        <w:t xml:space="preserve">ополнительная профессиональная программа </w:t>
      </w:r>
      <w:r w:rsidR="00E72E82">
        <w:t>(программа повышения квалификации) "Требования промышленной безопасности в металлургической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22.03.02 "Металлургия" (уровень бакалавриата), утвержденного приказом Минобрнауки Российской Федерации от 4 декабря 2015 г. N 1427 (зарегистрирован Минюстом России 31 декабря 2015 г., регистрационный N 40510).</w:t>
      </w:r>
    </w:p>
    <w:p w:rsidR="006B24DE" w:rsidRDefault="006B24DE" w:rsidP="00E72E82">
      <w:pPr>
        <w:pStyle w:val="ConsPlusNormal"/>
        <w:ind w:firstLine="708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E856AF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E72E82" w:rsidRDefault="00E72E82" w:rsidP="0024715C">
      <w:pPr>
        <w:pStyle w:val="ConsPlusTitle"/>
        <w:outlineLvl w:val="1"/>
      </w:pPr>
    </w:p>
    <w:p w:rsidR="00E72E82" w:rsidRDefault="00E72E82" w:rsidP="0024715C">
      <w:pPr>
        <w:pStyle w:val="ConsPlusTitle"/>
        <w:outlineLvl w:val="1"/>
      </w:pPr>
      <w:bookmarkStart w:id="0" w:name="_GoBack"/>
      <w:bookmarkEnd w:id="0"/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lastRenderedPageBreak/>
        <w:t xml:space="preserve">Учебный </w:t>
      </w:r>
      <w:proofErr w:type="gramStart"/>
      <w:r w:rsidRPr="0024715C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Pr="0024715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E72E82" w:rsidRDefault="00E72E82" w:rsidP="00E72E82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</w:p>
    <w:p w:rsidR="00E72E82" w:rsidRPr="00814789" w:rsidRDefault="00E72E82" w:rsidP="00E7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МЕТАЛЛУРГИЧЕСКОЙ</w:t>
      </w:r>
      <w:r w:rsidRPr="00814789">
        <w:rPr>
          <w:b/>
          <w:sz w:val="24"/>
          <w:szCs w:val="24"/>
        </w:rPr>
        <w:t xml:space="preserve"> ПРОМЫШЛЕННОСТИ"</w:t>
      </w:r>
    </w:p>
    <w:p w:rsidR="00E72E82" w:rsidRDefault="00E72E82" w:rsidP="00E72E82">
      <w:pPr>
        <w:pStyle w:val="ConsPlusNormal"/>
        <w:ind w:firstLine="540"/>
        <w:jc w:val="both"/>
      </w:pPr>
    </w:p>
    <w:p w:rsidR="00E72E82" w:rsidRDefault="00E72E82" w:rsidP="00E7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72E82" w:rsidRPr="00E72E82" w:rsidRDefault="00E72E82" w:rsidP="00E72E82">
      <w:pPr>
        <w:jc w:val="center"/>
        <w:rPr>
          <w:b/>
          <w:bCs/>
          <w:sz w:val="24"/>
          <w:szCs w:val="24"/>
        </w:rPr>
      </w:pPr>
      <w:r w:rsidRPr="00E72E82">
        <w:rPr>
          <w:b/>
          <w:bCs/>
        </w:rPr>
        <w:t>«Производство с полным металлургическим циклом»</w:t>
      </w: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Pr="00E72E82" w:rsidRDefault="00E72E82" w:rsidP="006E392C">
            <w:pPr>
              <w:pStyle w:val="ConsPlusNormal"/>
            </w:pPr>
            <w:r w:rsidRPr="00E72E82">
              <w:t>Производство с полным металлургическим циклом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14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6E392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72E82" w:rsidTr="00E72E82">
        <w:tc>
          <w:tcPr>
            <w:tcW w:w="9639" w:type="dxa"/>
          </w:tcPr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</w:t>
            </w:r>
            <w:r>
              <w:t>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E72E82" w:rsidTr="00E72E82">
        <w:tc>
          <w:tcPr>
            <w:tcW w:w="9639" w:type="dxa"/>
          </w:tcPr>
          <w:p w:rsidR="00E72E82" w:rsidRDefault="00E72E82" w:rsidP="00E72E82">
            <w:pPr>
              <w:pStyle w:val="ConsPlusNormal"/>
              <w:numPr>
                <w:ilvl w:val="1"/>
                <w:numId w:val="15"/>
              </w:numPr>
              <w:jc w:val="both"/>
            </w:pPr>
            <w:r>
              <w:t>Общие требования.</w:t>
            </w:r>
          </w:p>
          <w:p w:rsidR="00E72E82" w:rsidRDefault="00E72E82" w:rsidP="00E72E82">
            <w:pPr>
              <w:pStyle w:val="ConsPlusNormal"/>
              <w:numPr>
                <w:ilvl w:val="1"/>
                <w:numId w:val="15"/>
              </w:numPr>
              <w:jc w:val="both"/>
            </w:pPr>
            <w:r>
              <w:t>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2. Требования безопасности в доменном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3. Требования безопасности в сталеплавильном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4. Требования безопасности в литейном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5. Требования безопасности в прокатном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8. Ремонты;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10. Требования безопасности в коксохимическом производстве.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23. Прокладка межцеховых и 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24. Отвод конденсата из межцеховых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25. Отвод конденсата из 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26. Оборудование для газопламенной обработки металлов;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27. Взрывопожароопасные объекты газового хозяйства;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28. Газорегуляторные пункты и газорегуляторные установки;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35. Испытание газопроводов и газовых установок;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36. Испытание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37. Дополнительные испытания на герметичность;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38. Испытание аппаратов и газопроводов установки газоочистки доменного газа;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п. 39. Диспетчерское управление, связь и сигнализация;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40. Эксплуатация газового хозяйства;</w:t>
            </w:r>
          </w:p>
        </w:tc>
      </w:tr>
      <w:tr w:rsidR="00E72E82" w:rsidTr="00E72E82">
        <w:tc>
          <w:tcPr>
            <w:tcW w:w="9639" w:type="dxa"/>
          </w:tcPr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п. 41. Эксплуатация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42.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44. Эксплуатация взрывопожароопасных объектов;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48.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49. Эксплуатация контрольно-измерительных приборов;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50. Организация безопасного проведения газоопасных работ.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V. Требования безопасности при производстве и потреблении продуктов разделения воздуха: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>
              <w:t>пп</w:t>
            </w:r>
            <w:proofErr w:type="spellEnd"/>
            <w:r>
              <w:t>. 2067 - 2068);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61. Газообразные продукты разделения воздуха (</w:t>
            </w:r>
            <w:proofErr w:type="spellStart"/>
            <w:r>
              <w:t>пп</w:t>
            </w:r>
            <w:proofErr w:type="spellEnd"/>
            <w:r>
              <w:t>. 2077 - 2088);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</w:tbl>
    <w:p w:rsidR="006B24DE" w:rsidRDefault="006B24DE" w:rsidP="000A0A07">
      <w:pPr>
        <w:jc w:val="left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3E" w:rsidRDefault="00C0793E" w:rsidP="00AF30E8">
      <w:pPr>
        <w:spacing w:line="240" w:lineRule="auto"/>
      </w:pPr>
      <w:r>
        <w:separator/>
      </w:r>
    </w:p>
  </w:endnote>
  <w:endnote w:type="continuationSeparator" w:id="0">
    <w:p w:rsidR="00C0793E" w:rsidRDefault="00C0793E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3E" w:rsidRDefault="00C0793E" w:rsidP="00AF30E8">
      <w:pPr>
        <w:spacing w:line="240" w:lineRule="auto"/>
      </w:pPr>
      <w:r>
        <w:separator/>
      </w:r>
    </w:p>
  </w:footnote>
  <w:footnote w:type="continuationSeparator" w:id="0">
    <w:p w:rsidR="00C0793E" w:rsidRDefault="00C0793E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74C91"/>
    <w:multiLevelType w:val="hybridMultilevel"/>
    <w:tmpl w:val="80C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843B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C264E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914F0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0793E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72E82"/>
    <w:rsid w:val="00E856AF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EC0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FA7E-1FF3-4708-A001-9DF5451F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30</cp:revision>
  <cp:lastPrinted>2019-12-06T08:43:00Z</cp:lastPrinted>
  <dcterms:created xsi:type="dcterms:W3CDTF">2018-10-30T09:02:00Z</dcterms:created>
  <dcterms:modified xsi:type="dcterms:W3CDTF">2019-12-25T08:17:00Z</dcterms:modified>
</cp:coreProperties>
</file>