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1A0E49" w:rsidRPr="00111791" w:rsidRDefault="001A0E4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530D9" w:rsidRPr="00111791" w:rsidRDefault="006530D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F32272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ПОРЯДКУ РАБОТЫ В ЭЛЕКТРОУСТАНОВКАХ ПОТРЕБИТЕЛЕЙ</w:t>
      </w:r>
      <w:r w:rsidR="00F32272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 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F32272" w:rsidRDefault="001D2D77" w:rsidP="00AE7230">
      <w:pPr>
        <w:jc w:val="center"/>
        <w:rPr>
          <w:b/>
          <w:bCs/>
        </w:rPr>
      </w:pPr>
      <w:r w:rsidRPr="00F32272">
        <w:rPr>
          <w:b/>
          <w:bCs/>
        </w:rPr>
        <w:t>«</w:t>
      </w:r>
      <w:r w:rsidR="00F32272" w:rsidRPr="00F32272">
        <w:rPr>
          <w:b/>
          <w:bCs/>
        </w:rPr>
        <w:t>Эксплуатация электроустановок</w:t>
      </w:r>
      <w:r w:rsidRPr="00F32272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6B24DE" w:rsidRDefault="009B46F3" w:rsidP="0014524F">
      <w:pPr>
        <w:pStyle w:val="ConsPlusNormal"/>
        <w:ind w:firstLine="540"/>
        <w:jc w:val="both"/>
      </w:pPr>
      <w:r>
        <w:t xml:space="preserve">Дополнительная </w:t>
      </w:r>
      <w:r w:rsidR="0014524F">
        <w:t>профессиональная программа (программа повышения квалификации) "</w:t>
      </w:r>
      <w:r w:rsidR="00F32272">
        <w:t>Энергетическая безопасность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Федеральный закон от 21 декабря 1994 г. N 68-ФЗ "О защите населения и территорий от чрезвычайных ситуаций природного и техногенного характера", </w:t>
      </w:r>
      <w:r w:rsidR="00F32272">
        <w:t>Федеральн</w:t>
      </w:r>
      <w:r w:rsidR="00F32272">
        <w:t>ого</w:t>
      </w:r>
      <w:r w:rsidR="00F32272">
        <w:t xml:space="preserve"> закон</w:t>
      </w:r>
      <w:r w:rsidR="00F32272">
        <w:t>а</w:t>
      </w:r>
      <w:r w:rsidR="00F32272">
        <w:t xml:space="preserve"> от 26 марта 2003 г. N 35-ФЗ "Об электроэнергетике"</w:t>
      </w:r>
      <w:r w:rsidR="00016892">
        <w:t>.</w:t>
      </w:r>
    </w:p>
    <w:p w:rsidR="00016892" w:rsidRDefault="00016892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 xml:space="preserve">работники в области </w:t>
      </w:r>
      <w:r w:rsidR="00F32272">
        <w:t>энергетической</w:t>
      </w:r>
      <w:r w:rsidR="009B46F3">
        <w:t xml:space="preserve">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</w:t>
      </w:r>
      <w:r>
        <w:lastRenderedPageBreak/>
        <w:t>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 xml:space="preserve">области </w:t>
      </w:r>
      <w:r w:rsidR="00F32272">
        <w:t xml:space="preserve">энергетической </w:t>
      </w:r>
      <w:r w:rsidR="001D2D77">
        <w:t>безопасности</w:t>
      </w:r>
      <w:r w:rsidR="00F32272"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Результатами обучения слушателей по ДПП является повышение уровня их профессиональных компетенций за счет актуализации знаний и умений в области </w:t>
      </w:r>
      <w:r w:rsidR="00F32272">
        <w:t xml:space="preserve">энергетической </w:t>
      </w:r>
      <w:r>
        <w:t>безопасности</w:t>
      </w:r>
      <w:r w:rsidR="001D2D77">
        <w:t xml:space="preserve"> </w:t>
      </w:r>
      <w:r>
        <w:t>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F32272">
        <w:t>энергетической</w:t>
      </w:r>
      <w:r w:rsidR="00F32272">
        <w:t xml:space="preserve">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общие требования </w:t>
      </w:r>
      <w:r w:rsidR="00F32272">
        <w:t>энергетической</w:t>
      </w:r>
      <w:r w:rsidR="00F32272">
        <w:t xml:space="preserve"> </w:t>
      </w:r>
      <w:bookmarkStart w:id="0" w:name="_GoBack"/>
      <w:bookmarkEnd w:id="0"/>
      <w:r w:rsidR="00EA0E7F">
        <w:t>безопасности эксплуатации</w:t>
      </w:r>
      <w:r>
        <w:t xml:space="preserve">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</w:t>
      </w:r>
      <w:r w:rsidR="00DD4F8D">
        <w:t>к порядку работы в электроустановках потребителей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 xml:space="preserve">требованиями </w:t>
      </w:r>
      <w:r w:rsidR="00DD4F8D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основные аспекты лицензирования, технического регулирования и экспертизы </w:t>
      </w:r>
      <w:r w:rsidR="00DD4F8D">
        <w:t xml:space="preserve">энергетической </w:t>
      </w:r>
      <w:r>
        <w:t>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9E2AAD">
        <w:t>электроустановок потребителей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 xml:space="preserve">требований </w:t>
      </w:r>
      <w:r w:rsidR="00C82509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методы снижения риска аварий, инцидентов, производственного травматизма на </w:t>
      </w:r>
      <w:r w:rsidR="00C82509">
        <w:t>электроустановках</w:t>
      </w:r>
      <w:r w:rsidR="00836254">
        <w:t>.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C82509">
        <w:t>на электроустановках потребителей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организовывать </w:t>
      </w:r>
      <w:r w:rsidR="00C82509">
        <w:t xml:space="preserve">энергетическую </w:t>
      </w:r>
      <w:r>
        <w:t>безопасн</w:t>
      </w:r>
      <w:r w:rsidR="00C82509">
        <w:t>ость,</w:t>
      </w:r>
      <w:r>
        <w:t xml:space="preserve">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обеспечивать исправное состояние оборудования, проведение своевременной экспертизы </w:t>
      </w:r>
      <w:r w:rsidR="00C82509">
        <w:t xml:space="preserve">электроустановок потребителей </w:t>
      </w:r>
      <w:r>
        <w:t>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lastRenderedPageBreak/>
        <w:t xml:space="preserve">- навыками выявления нарушений требований </w:t>
      </w:r>
      <w:r w:rsidR="00C82509">
        <w:t>энергетической безопасности и</w:t>
      </w:r>
      <w:r>
        <w:t xml:space="preserve"> принятия 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14524F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 xml:space="preserve">"Требования </w:t>
      </w:r>
      <w:r w:rsidR="00C82509">
        <w:rPr>
          <w:rFonts w:ascii="Times New Roman" w:hAnsi="Times New Roman" w:cs="Times New Roman"/>
          <w:sz w:val="28"/>
          <w:szCs w:val="28"/>
        </w:rPr>
        <w:t>к порядку работы в электроустановках потребителей</w:t>
      </w:r>
      <w:r w:rsidRPr="0014524F">
        <w:rPr>
          <w:rFonts w:ascii="Times New Roman" w:hAnsi="Times New Roman" w:cs="Times New Roman"/>
          <w:sz w:val="28"/>
          <w:szCs w:val="28"/>
        </w:rPr>
        <w:t>"</w:t>
      </w:r>
    </w:p>
    <w:p w:rsidR="005C2FB2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836254" w:rsidRPr="001A0E49" w:rsidRDefault="00836254" w:rsidP="00836254">
      <w:pPr>
        <w:jc w:val="center"/>
        <w:rPr>
          <w:b/>
          <w:bCs/>
        </w:rPr>
      </w:pPr>
      <w:r w:rsidRPr="001A0E49">
        <w:rPr>
          <w:b/>
          <w:bCs/>
        </w:rPr>
        <w:t>«</w:t>
      </w:r>
      <w:r w:rsidR="00C82509">
        <w:rPr>
          <w:b/>
          <w:bCs/>
        </w:rPr>
        <w:t>Эксплуатация электроустановок</w:t>
      </w:r>
      <w:r w:rsidRPr="001A0E49">
        <w:rPr>
          <w:b/>
          <w:bCs/>
        </w:rPr>
        <w:t>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82509" w:rsidP="005C2FB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Эксплуатация электроустановок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Федеральный закон от 26 марта 2003 г. N 35-ФЗ "Об электроэнергетике"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>
              <w:t xml:space="preserve">риказ Минтруда России от 24 июля 2013 г. N 328н "Об </w:t>
            </w:r>
            <w:proofErr w:type="gramStart"/>
            <w:r>
              <w:t>утверждении Правил</w:t>
            </w:r>
            <w:proofErr w:type="gramEnd"/>
            <w:r>
              <w:t xml:space="preserve">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>
              <w:t>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>
              <w:t>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>
              <w:t>риказ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 xml:space="preserve">Правила устройства электроустановок (извлечения) (утверждены </w:t>
            </w:r>
            <w:proofErr w:type="spellStart"/>
            <w:r>
              <w:t>Главтехуправлением</w:t>
            </w:r>
            <w:proofErr w:type="spellEnd"/>
            <w:r>
              <w:t xml:space="preserve"> и </w:t>
            </w:r>
            <w:proofErr w:type="spellStart"/>
            <w:r>
              <w:t>Госэнергонадзором</w:t>
            </w:r>
            <w:proofErr w:type="spellEnd"/>
            <w:r>
              <w:t xml:space="preserve"> Минэнерго СССР 5 октября 1979 г., Минтопэнерго России 6 октября </w:t>
            </w:r>
            <w:r>
              <w:lastRenderedPageBreak/>
              <w:t>1999 г., приказом Минэнерго России от 8 июля 2002 г. N 204, приказом Минэнерго России от 20 мая 2003 г. N 187)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lastRenderedPageBreak/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C82509" w:rsidTr="00C82509">
        <w:tc>
          <w:tcPr>
            <w:tcW w:w="10065" w:type="dxa"/>
          </w:tcPr>
          <w:p w:rsidR="00C82509" w:rsidRDefault="00C82509" w:rsidP="00C82509">
            <w:pPr>
              <w:pStyle w:val="ConsPlusNormal"/>
              <w:numPr>
                <w:ilvl w:val="0"/>
                <w:numId w:val="17"/>
              </w:numPr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</w:tbl>
    <w:p w:rsidR="00C82509" w:rsidRPr="00C82509" w:rsidRDefault="00C82509" w:rsidP="00C82509">
      <w:pPr>
        <w:jc w:val="left"/>
        <w:rPr>
          <w:bCs/>
        </w:rPr>
      </w:pPr>
    </w:p>
    <w:sectPr w:rsidR="00C82509" w:rsidRPr="00C82509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6D" w:rsidRDefault="00401C6D" w:rsidP="00AF30E8">
      <w:pPr>
        <w:spacing w:line="240" w:lineRule="auto"/>
      </w:pPr>
      <w:r>
        <w:separator/>
      </w:r>
    </w:p>
  </w:endnote>
  <w:endnote w:type="continuationSeparator" w:id="0">
    <w:p w:rsidR="00401C6D" w:rsidRDefault="00401C6D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6D" w:rsidRDefault="00401C6D" w:rsidP="00AF30E8">
      <w:pPr>
        <w:spacing w:line="240" w:lineRule="auto"/>
      </w:pPr>
      <w:r>
        <w:separator/>
      </w:r>
    </w:p>
  </w:footnote>
  <w:footnote w:type="continuationSeparator" w:id="0">
    <w:p w:rsidR="00401C6D" w:rsidRDefault="00401C6D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E29A4"/>
    <w:multiLevelType w:val="hybridMultilevel"/>
    <w:tmpl w:val="47B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7E3E"/>
    <w:multiLevelType w:val="hybridMultilevel"/>
    <w:tmpl w:val="A83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E19B2"/>
    <w:multiLevelType w:val="hybridMultilevel"/>
    <w:tmpl w:val="027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0E49"/>
    <w:rsid w:val="001A62FD"/>
    <w:rsid w:val="001C49D3"/>
    <w:rsid w:val="001D0E36"/>
    <w:rsid w:val="001D2D77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3C2EEA"/>
    <w:rsid w:val="00401C6D"/>
    <w:rsid w:val="0041585C"/>
    <w:rsid w:val="00442836"/>
    <w:rsid w:val="0045144F"/>
    <w:rsid w:val="00452C6C"/>
    <w:rsid w:val="00453A15"/>
    <w:rsid w:val="004975A7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530D9"/>
    <w:rsid w:val="00660111"/>
    <w:rsid w:val="006B1A3B"/>
    <w:rsid w:val="006B24DE"/>
    <w:rsid w:val="00705717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210"/>
    <w:rsid w:val="008B2B0E"/>
    <w:rsid w:val="00931BEB"/>
    <w:rsid w:val="00992475"/>
    <w:rsid w:val="009932A1"/>
    <w:rsid w:val="009B1C12"/>
    <w:rsid w:val="009B46F3"/>
    <w:rsid w:val="009E2AAD"/>
    <w:rsid w:val="009F7C3C"/>
    <w:rsid w:val="00A0137F"/>
    <w:rsid w:val="00A140A5"/>
    <w:rsid w:val="00A52FAE"/>
    <w:rsid w:val="00A55E54"/>
    <w:rsid w:val="00A662DD"/>
    <w:rsid w:val="00A72D4C"/>
    <w:rsid w:val="00A97D57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53A52"/>
    <w:rsid w:val="00C60F90"/>
    <w:rsid w:val="00C624BE"/>
    <w:rsid w:val="00C82509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7720"/>
    <w:rsid w:val="00DD4F8D"/>
    <w:rsid w:val="00E22B09"/>
    <w:rsid w:val="00E2760F"/>
    <w:rsid w:val="00E45F07"/>
    <w:rsid w:val="00E6142E"/>
    <w:rsid w:val="00EA0E7F"/>
    <w:rsid w:val="00EB0F07"/>
    <w:rsid w:val="00EB1BD7"/>
    <w:rsid w:val="00F31BB7"/>
    <w:rsid w:val="00F32272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7BC3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86F2-8A7D-4358-9C30-F85E274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30</cp:revision>
  <cp:lastPrinted>2020-03-24T07:32:00Z</cp:lastPrinted>
  <dcterms:created xsi:type="dcterms:W3CDTF">2018-10-30T09:02:00Z</dcterms:created>
  <dcterms:modified xsi:type="dcterms:W3CDTF">2020-03-24T07:33:00Z</dcterms:modified>
</cp:coreProperties>
</file>