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716C25" w:rsidRPr="00111791" w:rsidRDefault="00716C25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716C2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  <w:r w:rsidR="00BE7CD8">
        <w:rPr>
          <w:b/>
          <w:sz w:val="24"/>
          <w:szCs w:val="24"/>
        </w:rPr>
        <w:t xml:space="preserve"> </w:t>
      </w:r>
      <w:r w:rsidR="00716C25">
        <w:rPr>
          <w:b/>
          <w:sz w:val="24"/>
          <w:szCs w:val="24"/>
        </w:rPr>
        <w:t>В</w:t>
      </w:r>
      <w:r w:rsidR="00AE7230" w:rsidRPr="00111791">
        <w:rPr>
          <w:b/>
          <w:sz w:val="24"/>
          <w:szCs w:val="24"/>
        </w:rPr>
        <w:t>. Селюков</w:t>
      </w:r>
      <w:r w:rsidR="00716C25">
        <w:rPr>
          <w:b/>
          <w:sz w:val="24"/>
          <w:szCs w:val="24"/>
        </w:rPr>
        <w:t>а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814789" w:rsidRDefault="00814789" w:rsidP="00814789">
      <w:pPr>
        <w:pStyle w:val="ConsPlusTitle"/>
        <w:jc w:val="center"/>
      </w:pPr>
    </w:p>
    <w:p w:rsidR="00716C25" w:rsidRDefault="00071073" w:rsidP="00716C25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"ТРЕБОВАНИЯ ПРОМЫШЛЕННОЙ БЕЗОПАСНОСТИ </w:t>
      </w:r>
    </w:p>
    <w:p w:rsidR="00071073" w:rsidRPr="00071073" w:rsidRDefault="00071073" w:rsidP="00716C25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В </w:t>
      </w:r>
      <w:r w:rsidR="00716C25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УГОЛЬНОЙ ПРОМЫШЛЕННОСТИ</w:t>
      </w: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24715C" w:rsidRPr="00071073" w:rsidRDefault="0024715C" w:rsidP="0024715C">
      <w:pPr>
        <w:pStyle w:val="ConsPlusNormal"/>
        <w:ind w:firstLine="540"/>
        <w:jc w:val="both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Default="00AE7230" w:rsidP="00AE7230">
      <w:pPr>
        <w:jc w:val="center"/>
        <w:rPr>
          <w:b/>
        </w:rPr>
      </w:pPr>
    </w:p>
    <w:p w:rsidR="007F0E21" w:rsidRPr="00111791" w:rsidRDefault="007F0E21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7F0E21" w:rsidRPr="00E24031" w:rsidRDefault="007F0E21" w:rsidP="007F0E21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основании Приказа Федеральной службы по экологическому, технологическому и атомному надзору</w:t>
            </w:r>
          </w:p>
          <w:p w:rsidR="007F0E21" w:rsidRPr="00E24031" w:rsidRDefault="007F0E21" w:rsidP="007F0E21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 w:rsidRPr="00E24031">
              <w:rPr>
                <w:sz w:val="20"/>
                <w:szCs w:val="20"/>
              </w:rPr>
              <w:t>от 13 апреля 2020 года N 155</w:t>
            </w:r>
          </w:p>
          <w:p w:rsidR="007F0E21" w:rsidRDefault="007F0E21" w:rsidP="007F0E21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031">
              <w:rPr>
                <w:sz w:val="20"/>
                <w:szCs w:val="20"/>
              </w:rPr>
              <w:t>Об утверждении типовых дополнительных профессиональных программ в области промышленной безопасности</w:t>
            </w:r>
            <w:r>
              <w:rPr>
                <w:sz w:val="20"/>
                <w:szCs w:val="20"/>
              </w:rPr>
              <w:t>»</w:t>
            </w: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F0E21" w:rsidRDefault="007F0E21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F0E21" w:rsidRDefault="007F0E21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F0E21" w:rsidRDefault="007F0E21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F0E21" w:rsidRPr="006D545C" w:rsidRDefault="007F0E21" w:rsidP="007F0E21">
      <w:pPr>
        <w:keepNext/>
        <w:keepLines/>
        <w:ind w:left="10" w:right="7" w:firstLine="698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Д</w:t>
      </w:r>
      <w:r w:rsidRPr="007F0E21">
        <w:rPr>
          <w:rFonts w:eastAsia="Times New Roman"/>
          <w:spacing w:val="2"/>
          <w:sz w:val="24"/>
          <w:szCs w:val="24"/>
          <w:lang w:eastAsia="ru-RU"/>
        </w:rPr>
        <w:t>ополнительная профессиональная программа (программа повышения квалификации) "Требования промышленной безопасности в угольной промышленности" (далее - ДПП) разработана в соответствии с нормами </w:t>
      </w:r>
      <w:hyperlink r:id="rId8" w:history="1">
        <w:r w:rsidRPr="007F0E21">
          <w:rPr>
            <w:rFonts w:eastAsia="Times New Roman"/>
            <w:spacing w:val="2"/>
            <w:sz w:val="24"/>
            <w:szCs w:val="24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7F0E21">
        <w:rPr>
          <w:rFonts w:eastAsia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2013, N 19, ст.2326; 2020, N 9, ст.1139), с учетом требований </w:t>
      </w:r>
      <w:hyperlink r:id="rId9" w:history="1">
        <w:r w:rsidRPr="007F0E21">
          <w:rPr>
            <w:rFonts w:eastAsia="Times New Roman"/>
            <w:spacing w:val="2"/>
            <w:sz w:val="24"/>
            <w:szCs w:val="24"/>
            <w:lang w:eastAsia="ru-RU"/>
          </w:rPr>
          <w:t>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7F0E2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20 августа 2013 г., регистрационный N 29444), с изменением, внесенным </w:t>
      </w:r>
      <w:hyperlink r:id="rId10" w:history="1">
        <w:r w:rsidRPr="007F0E21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  </w:r>
      </w:hyperlink>
      <w:r w:rsidRPr="007F0E2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14 января 2014 г., регистрационный N 31014) и федерального государственного образовательного стандарта высшего образования по специальности 21.05.04 "Горное дело", утвержденного </w:t>
      </w:r>
      <w:hyperlink r:id="rId11" w:history="1">
        <w:r w:rsidRPr="007F0E21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17 октября 2016 г. N 1298</w:t>
        </w:r>
      </w:hyperlink>
      <w:r w:rsidRPr="007F0E2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10 ноября 2016 г., регистрационный N 44291) (далее - ФГОС ВО по специальности 21.05.04).</w:t>
      </w:r>
      <w:r w:rsidRPr="007F0E21">
        <w:rPr>
          <w:rFonts w:eastAsia="Times New Roman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К освоению ДПП допускаются</w:t>
      </w:r>
      <w:r w:rsidRPr="006D545C">
        <w:rPr>
          <w:rFonts w:eastAsia="Times New Roman"/>
          <w:b/>
          <w:bCs/>
          <w:color w:val="000000"/>
          <w:sz w:val="24"/>
          <w:u w:val="single"/>
          <w:lang w:eastAsia="ru-RU"/>
        </w:rPr>
        <w:t>:</w:t>
      </w:r>
    </w:p>
    <w:p w:rsidR="007F0E21" w:rsidRDefault="007F0E21" w:rsidP="007F0E21">
      <w:pPr>
        <w:shd w:val="clear" w:color="auto" w:fill="FFFFFF"/>
        <w:spacing w:line="315" w:lineRule="atLeast"/>
        <w:jc w:val="left"/>
        <w:textAlignment w:val="baseline"/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лица, получающие среднее профессиональное и (или) высшее образование.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- о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бучающимися по ДПП могут быть работники опасных производственных объектов или иные лица (далее - слушатели).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D545C">
        <w:rPr>
          <w:rFonts w:eastAsia="Times New Roman"/>
          <w:b/>
          <w:bCs/>
          <w:sz w:val="24"/>
          <w:szCs w:val="24"/>
          <w:u w:val="single"/>
        </w:rPr>
        <w:t>Категория слушателей</w:t>
      </w:r>
      <w:r w:rsidRPr="006D545C">
        <w:rPr>
          <w:rFonts w:eastAsia="Times New Roman"/>
          <w:sz w:val="24"/>
          <w:szCs w:val="24"/>
        </w:rPr>
        <w:t xml:space="preserve"> – </w:t>
      </w:r>
      <w:r w:rsidRPr="006D545C">
        <w:rPr>
          <w:sz w:val="24"/>
          <w:szCs w:val="24"/>
        </w:rPr>
        <w:t>работники в области промышленной безопасности или иные лица (далее - слушатели).</w:t>
      </w:r>
    </w:p>
    <w:p w:rsidR="007F0E21" w:rsidRPr="004C4EF6" w:rsidRDefault="007F0E21" w:rsidP="007F0E21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7F0E21" w:rsidRDefault="007F0E21" w:rsidP="007F0E21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ab/>
        <w:t xml:space="preserve">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8A511D">
        <w:rPr>
          <w:rFonts w:eastAsia="Times New Roman"/>
          <w:b/>
          <w:sz w:val="24"/>
        </w:rPr>
        <w:t>7</w:t>
      </w:r>
      <w:r>
        <w:rPr>
          <w:rFonts w:eastAsia="Times New Roman"/>
          <w:b/>
          <w:sz w:val="24"/>
        </w:rPr>
        <w:t>2</w:t>
      </w:r>
      <w:proofErr w:type="gramEnd"/>
      <w:r>
        <w:rPr>
          <w:rFonts w:eastAsia="Times New Roman"/>
          <w:sz w:val="24"/>
        </w:rPr>
        <w:t xml:space="preserve"> час. </w:t>
      </w:r>
    </w:p>
    <w:p w:rsidR="007F0E21" w:rsidRDefault="007F0E21" w:rsidP="007F0E21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7F0E21" w:rsidRPr="004C4EF6" w:rsidRDefault="007F0E21" w:rsidP="007F0E21">
      <w:pPr>
        <w:spacing w:after="12" w:line="269" w:lineRule="auto"/>
        <w:ind w:firstLine="708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 xml:space="preserve">Программа предполагает форму обучения в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очно-заочной, заочной формах обучения с применением электронного обучения и дистанционных образовательных технологий</w:t>
      </w:r>
      <w:r>
        <w:rPr>
          <w:rFonts w:eastAsia="Times New Roman"/>
          <w:sz w:val="24"/>
        </w:rPr>
        <w:t>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7F0E21" w:rsidRPr="001E5136" w:rsidRDefault="007F0E21" w:rsidP="007F0E21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7F0E21" w:rsidRPr="00821D92" w:rsidRDefault="007F0E21" w:rsidP="007F0E21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7F0E21" w:rsidRDefault="007F0E21" w:rsidP="007F0E21">
      <w:pPr>
        <w:pStyle w:val="ConsPlusNormal"/>
        <w:ind w:firstLine="540"/>
        <w:jc w:val="both"/>
      </w:pPr>
    </w:p>
    <w:p w:rsidR="007F0E21" w:rsidRDefault="007F0E21" w:rsidP="007F0E21">
      <w:pPr>
        <w:pStyle w:val="ConsPlusNormal"/>
        <w:jc w:val="both"/>
      </w:pPr>
      <w:r>
        <w:t>Освоение ДПП завершается итоговой аттестацией слушателей в форме зачета.</w:t>
      </w:r>
    </w:p>
    <w:p w:rsidR="007F0E21" w:rsidRDefault="007F0E21" w:rsidP="007F0E21">
      <w:pPr>
        <w:pStyle w:val="ConsPlusNormal"/>
        <w:spacing w:before="2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7F0E21" w:rsidRDefault="007F0E21" w:rsidP="007F0E21">
      <w:pPr>
        <w:pStyle w:val="ConsPlusNormal"/>
        <w:spacing w:before="240"/>
        <w:ind w:firstLine="540"/>
        <w:jc w:val="both"/>
      </w:pPr>
      <w:r>
        <w:lastRenderedPageBreak/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071073" w:rsidRDefault="00071073" w:rsidP="00071073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компетенции(</w:t>
      </w:r>
      <w:proofErr w:type="spellStart"/>
      <w:r>
        <w:t>ий</w:t>
      </w:r>
      <w:proofErr w:type="spellEnd"/>
      <w:r>
        <w:t>), необходимых для профессиональной деятельности работника в области промышленной безопасности.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 с учетом цели обучения по ДПП.</w:t>
      </w:r>
    </w:p>
    <w:p w:rsidR="008201AD" w:rsidRPr="008201AD" w:rsidRDefault="008201AD" w:rsidP="008A511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spacing w:val="2"/>
          <w:sz w:val="24"/>
          <w:szCs w:val="24"/>
          <w:lang w:eastAsia="ru-RU"/>
        </w:rPr>
        <w:t>В ходе освоения ДПП слушателем совершенствуются следующие профессиональные компетенции согласно </w:t>
      </w:r>
      <w:hyperlink r:id="rId12" w:history="1">
        <w:r w:rsidRPr="008201AD">
          <w:rPr>
            <w:rFonts w:eastAsia="Times New Roman"/>
            <w:spacing w:val="2"/>
            <w:sz w:val="24"/>
            <w:szCs w:val="24"/>
            <w:lang w:eastAsia="ru-RU"/>
          </w:rPr>
          <w:t>федеральному государственному образовательному стандарту среднего профессионального образования по специальности 21.02.15 "Открытые горные работы"</w:t>
        </w:r>
      </w:hyperlink>
      <w:r w:rsidRPr="008201AD">
        <w:rPr>
          <w:rFonts w:eastAsia="Times New Roman"/>
          <w:spacing w:val="2"/>
          <w:sz w:val="24"/>
          <w:szCs w:val="24"/>
          <w:lang w:eastAsia="ru-RU"/>
        </w:rPr>
        <w:t>, утвержденному </w:t>
      </w:r>
      <w:hyperlink r:id="rId13" w:history="1">
        <w:r w:rsidRPr="008201AD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12 мая 2014 г. N 496</w:t>
        </w:r>
      </w:hyperlink>
      <w:r w:rsidRPr="008201AD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18 июня 2014 г., регистрационный N 32773) (далее - ФГОС СПО по специальности 21.02.15), и федеральному государственному образовательному стандарту высшего образования по специальности 21.05.04 "Горное дело", утвержденному </w:t>
      </w:r>
      <w:hyperlink r:id="rId14" w:history="1">
        <w:r w:rsidRPr="008201AD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17 октября 2016 г. N 1298</w:t>
        </w:r>
      </w:hyperlink>
      <w:r w:rsidRPr="008201AD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10 ноября 2016 г., регистрационный N 44291) (далее - ФГОС ВО по специальности 21.05.04).</w:t>
      </w:r>
      <w:r w:rsidRPr="008201AD">
        <w:rPr>
          <w:rFonts w:eastAsia="Times New Roman"/>
          <w:spacing w:val="2"/>
          <w:sz w:val="24"/>
          <w:szCs w:val="24"/>
          <w:lang w:eastAsia="ru-RU"/>
        </w:rPr>
        <w:br/>
      </w:r>
    </w:p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spacing w:val="2"/>
          <w:sz w:val="24"/>
          <w:szCs w:val="24"/>
          <w:lang w:eastAsia="ru-RU"/>
        </w:rPr>
        <w:t>10.1. </w:t>
      </w:r>
      <w:hyperlink r:id="rId15" w:history="1">
        <w:r w:rsidRPr="008201AD">
          <w:rPr>
            <w:rFonts w:eastAsia="Times New Roman"/>
            <w:spacing w:val="2"/>
            <w:sz w:val="24"/>
            <w:szCs w:val="24"/>
            <w:lang w:eastAsia="ru-RU"/>
          </w:rPr>
          <w:t>ФГОС СПО по специальности 21.02.15</w:t>
        </w:r>
      </w:hyperlink>
      <w:r w:rsidRPr="008201AD">
        <w:rPr>
          <w:rFonts w:eastAsia="Times New Roman"/>
          <w:spacing w:val="2"/>
          <w:sz w:val="24"/>
          <w:szCs w:val="24"/>
          <w:lang w:eastAsia="ru-RU"/>
        </w:rPr>
        <w:t>:</w:t>
      </w:r>
      <w:r w:rsidRPr="008201AD">
        <w:rPr>
          <w:rFonts w:eastAsia="Times New Roman"/>
          <w:spacing w:val="2"/>
          <w:sz w:val="24"/>
          <w:szCs w:val="24"/>
          <w:lang w:eastAsia="ru-RU"/>
        </w:rPr>
        <w:br/>
      </w:r>
    </w:p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spacing w:val="2"/>
          <w:sz w:val="24"/>
          <w:szCs w:val="24"/>
          <w:lang w:eastAsia="ru-RU"/>
        </w:rPr>
        <w:t>1) ведение технологических процессов горных и взрывных работ:</w:t>
      </w:r>
      <w:r w:rsidRPr="008201AD">
        <w:rPr>
          <w:rFonts w:eastAsia="Times New Roman"/>
          <w:spacing w:val="2"/>
          <w:sz w:val="24"/>
          <w:szCs w:val="24"/>
          <w:lang w:eastAsia="ru-RU"/>
        </w:rPr>
        <w:br/>
      </w:r>
      <w:r w:rsidRPr="008201AD">
        <w:rPr>
          <w:rFonts w:eastAsia="Times New Roman"/>
          <w:spacing w:val="2"/>
          <w:sz w:val="24"/>
          <w:szCs w:val="24"/>
          <w:lang w:eastAsia="ru-RU"/>
        </w:rPr>
        <w:br/>
        <w:t>- организовывать и контролировать ведение горных работ на участке (ПК 1.2.).</w:t>
      </w:r>
      <w:r w:rsidRPr="008201AD">
        <w:rPr>
          <w:rFonts w:eastAsia="Times New Roman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spacing w:val="2"/>
          <w:sz w:val="24"/>
          <w:szCs w:val="24"/>
          <w:lang w:eastAsia="ru-RU"/>
        </w:rPr>
        <w:t>10.2. </w:t>
      </w:r>
      <w:hyperlink r:id="rId16" w:history="1">
        <w:r w:rsidRPr="008201AD">
          <w:rPr>
            <w:rFonts w:eastAsia="Times New Roman"/>
            <w:spacing w:val="2"/>
            <w:sz w:val="24"/>
            <w:szCs w:val="24"/>
            <w:lang w:eastAsia="ru-RU"/>
          </w:rPr>
          <w:t>ФГОС ВО по специальности 21.05.04</w:t>
        </w:r>
      </w:hyperlink>
      <w:r w:rsidRPr="008201AD">
        <w:rPr>
          <w:rFonts w:eastAsia="Times New Roman"/>
          <w:spacing w:val="2"/>
          <w:sz w:val="24"/>
          <w:szCs w:val="24"/>
          <w:lang w:eastAsia="ru-RU"/>
        </w:rPr>
        <w:t>:</w:t>
      </w:r>
      <w:r w:rsidRPr="008201AD">
        <w:rPr>
          <w:rFonts w:eastAsia="Times New Roman"/>
          <w:spacing w:val="2"/>
          <w:sz w:val="24"/>
          <w:szCs w:val="24"/>
          <w:lang w:eastAsia="ru-RU"/>
        </w:rPr>
        <w:br/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1) открытые горные работы: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 (ПСК-3.4);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2) производственно-технологическая деятельность: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3) подземная разработка пластовых месторождений: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владением методами обеспечения промышленной безопасности, в том числе в условиях чрезвычайных ситуаций, - при подземной разработке пластовых месторождений полезных ископаемых (ПСК-1.5);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4) обогащение полезных ископаемых: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способностью выбирать технологию производства работ по обогащению полезных ископаемых, составлять необходимую документацию (ПСК-6.2);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 (ПСК-6.3);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5) горные машины и оборудование: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 (ПСК-9.2);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 (ПСК-9.4);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6) технологическая безопасность и горноспасательное дело: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 (ПСК-12.2).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Карта компетенции раскрывает компонентный состав компетенции, технологии ее формирования и оценки: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1) дисциплинарная карта компетенции ПК 1.2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1.2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организовывать и контролировать ведение горных работ на участке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2) дисциплинарная карта компетенции ПСК-3.4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ПСК-3.4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3) дисциплинарная карта компетенции ПК-6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ПК-6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добыче и переработке твердых полезных ископаемых и подземных объектов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4) дисциплинарная карта компетенции ПСК-1.5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ПСК-1.5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владением методами обеспечения промышленной безопасности, в том числе в условиях чрезвычайных ситуаций, - при подземной разработке пластовых месторождений полезных ископаемых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5) дисциплинарная карта компетенции ПСК-6.2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ПСК-6.2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6) дисциплинарная карта компетенции ПСК-6.3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ПСК-6.3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7) дисциплинарная карта компетенции ПСК-9.2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ПСК-9.2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8) дисциплинарная карта компетенции ПСК-9.4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ПСК-9.4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9) дисциплинарная карта компетенции ПСК-12.2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8201AD" w:rsidRPr="00E24031" w:rsidTr="00257E20">
        <w:trPr>
          <w:trHeight w:val="15"/>
        </w:trPr>
        <w:tc>
          <w:tcPr>
            <w:tcW w:w="6283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201AD" w:rsidRPr="00E24031" w:rsidRDefault="008201AD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01AD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ПСК-12.2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 xml:space="preserve">способностью обосновывать средства защиты в чрезвычайных ситуациях и режимы их работы, 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проводить контроль их состояния, регламентировать эксплуатацию защитной и спасательной техники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8201AD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AD" w:rsidRPr="00E24031" w:rsidRDefault="008201AD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8201AD" w:rsidRPr="008201AD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В результате освоения ДПП слушатель: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должен знать: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нормативно-правовую базу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общие требования промышленной безопасности в отношении эксплуатации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требования промышленной безопасности к эксплуатации оборудования, работающего под избыточным давлением;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функции и полномочия органов государственного надзора и контроля за соблюдением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методы снижения риска аварий, инцидентов, производственного травматизма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Pr="00E24031" w:rsidRDefault="008201AD" w:rsidP="008201A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должен уметь:</w:t>
      </w:r>
      <w:r w:rsidRPr="008201AD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пользоваться нормативно-правовой документацией, регламентирующей деятельность промышленных предприятий;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безопасную эксплуатацию технических устройств, зданий, и сооружений;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подготовке проведения экспертизы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оперативную ликвидацию аварийных ситуаций и их предупреждение;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- разрабатывать план работы по осуществлению производственного контроля в подразделениях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эксплуатирующей организации;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подготовку и аттестацию работников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8201AD" w:rsidRDefault="008201AD" w:rsidP="008201A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8201AD">
        <w:rPr>
          <w:rFonts w:ascii="Times New Roman" w:eastAsia="Times New Roman" w:hAnsi="Times New Roman" w:cs="Times New Roman"/>
          <w:color w:val="2D2D2D"/>
          <w:spacing w:val="2"/>
          <w:u w:val="single"/>
        </w:rPr>
        <w:t>должен владеть:</w:t>
      </w:r>
      <w:r w:rsidRPr="008201AD">
        <w:rPr>
          <w:rFonts w:ascii="Times New Roman" w:eastAsia="Times New Roman" w:hAnsi="Times New Roman" w:cs="Times New Roman"/>
          <w:color w:val="2D2D2D"/>
          <w:spacing w:val="2"/>
          <w:u w:val="single"/>
        </w:rPr>
        <w:br/>
      </w:r>
      <w:r w:rsidRPr="00E24031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t>- навыками использования в работе нормативно-технической документации;</w:t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проведения анализа причин возникновения аварий и инцидентов на опасных производственных объектах.</w:t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8201AD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</w:p>
    <w:p w:rsidR="0024715C" w:rsidRPr="0024715C" w:rsidRDefault="0024715C" w:rsidP="008201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Учебный план программы повышения квалификации</w:t>
      </w:r>
    </w:p>
    <w:p w:rsidR="008201AD" w:rsidRDefault="00071073" w:rsidP="00820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"Требования промышленной безопасности </w:t>
      </w:r>
    </w:p>
    <w:p w:rsidR="00071073" w:rsidRPr="00071073" w:rsidRDefault="00071073" w:rsidP="00820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в </w:t>
      </w:r>
      <w:r w:rsidR="008201AD">
        <w:rPr>
          <w:rFonts w:ascii="Times New Roman" w:hAnsi="Times New Roman" w:cs="Times New Roman"/>
          <w:sz w:val="28"/>
          <w:szCs w:val="28"/>
        </w:rPr>
        <w:t>угольной промышленности</w:t>
      </w:r>
      <w:r w:rsidRPr="00071073">
        <w:rPr>
          <w:rFonts w:ascii="Times New Roman" w:hAnsi="Times New Roman" w:cs="Times New Roman"/>
          <w:sz w:val="28"/>
          <w:szCs w:val="28"/>
        </w:rPr>
        <w:t>"</w:t>
      </w:r>
    </w:p>
    <w:p w:rsidR="00071073" w:rsidRDefault="00071073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261"/>
        <w:gridCol w:w="1812"/>
        <w:gridCol w:w="1793"/>
      </w:tblGrid>
      <w:tr w:rsidR="00A8137E" w:rsidRPr="0008203B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08203B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bookmarkStart w:id="0" w:name="_GoBack"/>
            <w:r w:rsidRPr="0008203B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N</w:t>
            </w:r>
            <w:r w:rsidRPr="0008203B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08203B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08203B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08203B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08203B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08203B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08203B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Форма контроля</w:t>
            </w:r>
          </w:p>
        </w:tc>
      </w:tr>
      <w:bookmarkEnd w:id="0"/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Общие требования промышленной безопасности в Российской Федерации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Разработка угольных месторождений открытым способом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Обогащение и брикетирование углей (сланцев)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Разработка угольных месторождений подземным способом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37E" w:rsidRPr="00E24031" w:rsidRDefault="00A8137E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зачет</w:t>
            </w:r>
          </w:p>
        </w:tc>
      </w:tr>
      <w:tr w:rsidR="00A8137E" w:rsidRPr="00E24031" w:rsidTr="00A8137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A8137E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A8137E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Pr="00E24031" w:rsidRDefault="00A8137E" w:rsidP="00A8137E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37E" w:rsidRDefault="00A8137E" w:rsidP="00A8137E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071073" w:rsidRPr="00814789" w:rsidRDefault="00071073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37E" w:rsidRPr="00A8137E" w:rsidRDefault="00A8137E" w:rsidP="00A813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</w:pPr>
      <w:r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С</w:t>
      </w:r>
      <w:r w:rsidRPr="00A8137E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одержание рабочей программы учебных предметов, курсов, дисциплин (модулей) "Требования промышленной безопасности в угольной промышленности"</w:t>
      </w:r>
    </w:p>
    <w:p w:rsidR="00A8137E" w:rsidRPr="00E24031" w:rsidRDefault="00A8137E" w:rsidP="00A8137E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A8137E" w:rsidRPr="00E24031" w:rsidRDefault="00A8137E" w:rsidP="00A8137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1. Общие требования промышленной безопасности в Российской Федерации.</w:t>
      </w: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Промышленная безопасность, основные понятия. Правовое регулирование в области промышленной безопасности. Требования к эксплуатации опасных производственных объектов в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соответствии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Организация производственного контроля за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экспертизы промышленной безопасности.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Риск-ориентированный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A8137E" w:rsidRPr="00E24031" w:rsidRDefault="00A8137E" w:rsidP="00A8137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2. Разработка угольных месторождений открытым способом.</w:t>
      </w: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процессу приемки в эксплуатацию разрезов. Требования к порядку ведения работ по ликвидации и консервации опасного производственного объекта. Объекты открытых горных работ при отработке угольных месторождений. Производство горных работ. Буровые работы. Порядок организации и контроля ведения горных работ в опасных зонах. Классификация опасных зон при ведении открытых горных работ.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Внешние и внутренние отвалы. Выбор участков для размещения отвалов. Требования к насыпным отвалам и перегрузочным пунктам. Требования к разгрузочным тупикам, разгрузке думпкаров, автомобилей и других транспортных средства. Требования к зонам разгрузки. Требования к намывным отвалам. Обеспечение устойчивости откосов на угольных разрезах.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Определение инкубационного периода самовозгорания угля.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Меры по предупреждению самовозгорания, тушению и разборке породных отвалов. Мероприятия по профилактике и тушению пожаров в разрезах. Тушение пожаров и огнезащита, применение антипирогенов и изолирующих материалов.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A8137E" w:rsidRPr="00E24031" w:rsidRDefault="00A8137E" w:rsidP="00A8137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3. Обогащение и брикетирование углей (сланцев).</w:t>
      </w: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 xml:space="preserve">Опробование и контроль качества. Приемка рядового угля (сланца). Требования безопасности к устройству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углеприемных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ям. Зачистка погрузочных, аккумулирующих бункеров, требования безопасности.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Грохочение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. Требования безопасности к подаче угля на грохот. Дробление. Требования безопасности к спуску людей в рабочее пространство дробилки. Требования к эксплуатации дробилок.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безопасности к эксплуатации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тяжелосредных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сепараторов (гидроциклонов). Требования безопасности к эксплуатации комплекса отсадки. Требования безопасности к эксплуатации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крутонаклонных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сепараторов и винтовых сепараторов. Требования безопасности к эксплуатации пневматических сепараторов и отсадочных машин. Требования безопасности к эксплуатации флотационных машин. Требования безопасности к регенерации суспензии на электромагнитных сепараторах.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безопасности при эксплуатации центрифуг и гидроциклонов. Требования безопасности при эксплуатации вакуум-фильтров, приборов для контроля и анализа процесса фильтрования. Требования к пуску и остановке фильтровальной установки. Требования безопасности к эксплуатации ленточных вакуум-фильтров, камерного фильтр-пресса, ленточного фильтра-пресса, отстойников. Проведение комиссионных осмотров. Требования к превышению отметки гребня дамбы наливных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гидроотвалов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или отметки надводного пляжа у верхового откоса дамбы обвалования намывных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гидроотвалов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над уровнем воды. План ликвидации возможных аварий на гидротехническом сооружении. Требования безопасности к спуску в водоприемный колодец. Требования к обслуживанию хвостохранилищ.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безопасной эксплуатации штемпельного пресса. Контрольно-измерительные приборы, сигнализация и блокировка штемпельных прессов. Подготовка пресса к пуску, пуск процесса в работу, ведение процессов прессования, плановые и аварийные остановки прессов.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безопасной эксплуатации вальцевого пресса. Контрольно-измерительные приборы, сигнализация и блокировка вальцевых прессов. Опробование узлов приема и разогрева нефтебитумного связующего. Подготовка к пуску вальцевого пресса, управление работой брикетно-вальцевого комплекса. Требования к контролю за работой брикетно-вальцевого комплекса. Требования к эксплуатации электрофильтров.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эксплуатации складов для хранения угля. Контроль температурного состояния штабеля угля, план противопожарных мероприятий. Классификация угля по склонности к окислению, меры по предупреждению нагревания и самовозгорания угля в штабеле при длительном хранении. Признаки появления очагов самонагревания угля в летнее время, весной и осенью, принимаемые меры при возникновении очагов самонагревания угля. Определение инкубационного периода самовозгорания угля. Назначение, устройство, требования безопасности к эксплуатации укрытых угольных складов напольного типа. Эксплуатация породных отвалов, требования к обслуживанию подвесных канатных дорог на отвалах. Требования к эксплуатации лебедок. Основные способы предупреждения самовозгорания породных отвалов, тушение горящих породных отвалов, разборка породных отвалов, контроль теплового состояния породных отвалов. Требования к проведению погрузочно-разгрузочных работ продуктов обогащения (брикетирования) в железнодорожные вагоны. Требования к расположению штабелей топлива. Требования безопасности к обслуживанию бункера.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A8137E" w:rsidRPr="00E24031" w:rsidRDefault="00A8137E" w:rsidP="00A8137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4. Разработка угольных месторождений подземным способом.</w:t>
      </w: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устройству отдельных выходов из горных выработок на поверхность, приспособленных для передвижения (перевозки) людей. Проведение и крепление горных выработок. Требования к проведению и креплению горизонтальных и наклонных горных выработок. Требования к проходке, креплению и армированию вертикальных выработок. Расчет и применение анкерной крепи. Дополнительные требования при гидравлическом способе добычи угля. Требования при разработке пластов, опасных по внезапным выбросам угля, породы и газа, и пластов, склонных к горным ударам. Требования к содержанию и ремонту выработок. Изоляция неиспользуемых горных выработок и выработанных пространств в угольных шахтах. Ведение работ по ликвидации и консервации опасных производственных объектов, связанных с пользованием недрами.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A8137E" w:rsidRPr="00E24031" w:rsidRDefault="00A8137E" w:rsidP="00A8137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5. Требования к производству сварочных работ на опасных производственных объектах.</w:t>
      </w:r>
      <w:r w:rsidRPr="00A8137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C72CCE" w:rsidRDefault="00C72CCE" w:rsidP="00CB54CE">
      <w:pPr>
        <w:jc w:val="center"/>
        <w:rPr>
          <w:b/>
        </w:rPr>
      </w:pPr>
    </w:p>
    <w:p w:rsidR="009B46F3" w:rsidRDefault="00754EFF" w:rsidP="002C6E75">
      <w:pPr>
        <w:jc w:val="center"/>
        <w:rPr>
          <w:b/>
        </w:rPr>
      </w:pPr>
      <w:r>
        <w:rPr>
          <w:b/>
        </w:rPr>
        <w:t>РЕКОМЕНДУЕМАЯ ЛИТЕРАТУРА: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Федеральный закон от 4 мая 2011 г. N 99-ФЗ "О лицензировании отдельных видов деятельности"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Федеральный закон от 30 декабря 2009 г. N 384-ФЗ "Технический регламент о безопасности зданий и сооружений"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Градостроительный кодекс Российской Федерации от 29 декабря 2004 г. N 190-ФЗ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Федеральный закон от 27 декабря 2002 г. N 184-ФЗ "О техническом регулировании"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Кодекс Российской Федерации об административных правонарушениях от 30 декабря 2001 г. N 195-ФЗ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Федеральный закон от 21 июля 1997 г. N 116-ФЗ "О промышленной безопасности опасных производственных объектов"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lastRenderedPageBreak/>
        <w:t>П</w:t>
      </w:r>
      <w:r w:rsidRPr="00754EFF">
        <w:t>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 w:rsidRPr="00754EFF">
        <w:t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</w:r>
    </w:p>
    <w:p w:rsidR="002C6E75" w:rsidRPr="00754EFF" w:rsidRDefault="002C6E75" w:rsidP="00820544">
      <w:pPr>
        <w:pStyle w:val="ConsPlusNormal"/>
        <w:numPr>
          <w:ilvl w:val="0"/>
          <w:numId w:val="15"/>
        </w:numPr>
      </w:pPr>
      <w:r>
        <w:t>П</w:t>
      </w:r>
      <w:r w:rsidRPr="00754EFF">
        <w:t>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</w:r>
    </w:p>
    <w:p w:rsidR="002C6E75" w:rsidRPr="00820544" w:rsidRDefault="002C6E75" w:rsidP="00820544">
      <w:pPr>
        <w:pStyle w:val="ac"/>
        <w:numPr>
          <w:ilvl w:val="0"/>
          <w:numId w:val="15"/>
        </w:numPr>
        <w:rPr>
          <w:b/>
        </w:rPr>
      </w:pPr>
      <w:r>
        <w:t>П</w:t>
      </w:r>
      <w:r w:rsidRPr="00754EFF">
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</w: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способом". Зарегистрирован в Минюсте России 12 февраля 2018 г., регистрационный N 49999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</w:t>
            </w:r>
            <w:r>
              <w:lastRenderedPageBreak/>
              <w:t>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20 ноября 2017 г. N 487 "Об утверждении Федеральных норм и правил в области промышленной безопасности "Правила безопасности при обогащении и брикетировании углей". Зарегистрирован в Минюсте России 12 февраля 2018 г., регистрационный N 50000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регистрационный N 44481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месторождений". Зарегистрирован Минюстом России 7 ноября 2016 г., регистрационный N 44251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2016 г., регистрационный N 40602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2014 г., регистрационный N 35312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шахтах". Зарегистрирован Минюстом России 9 февраля 2015 г., регистрационный N 35926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</w:t>
            </w:r>
            <w:r>
              <w:lastRenderedPageBreak/>
              <w:t>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      </w:r>
            <w:proofErr w:type="spellStart"/>
            <w:r>
              <w:t>кВ</w:t>
            </w:r>
            <w:proofErr w:type="spellEnd"/>
            <w:r>
              <w:t>". Зарегистрирован Минюстом России 9 апреля 2013 г., регистрационный N 28067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</w:t>
            </w:r>
            <w:proofErr w:type="spellStart"/>
            <w:r>
              <w:t>пылегазовоздушных</w:t>
            </w:r>
            <w:proofErr w:type="spellEnd"/>
            <w:r>
              <w:t xml:space="preserve"> смесей в угольных шахтах". Зарегистрирован Минюстом России 25 декабря 2012 г., регистрационный N 26359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6 ноября 2012 г. N 636 "Об утверждении Федеральных норм и правил в области промышленной безопасности "Инструкция по </w:t>
            </w:r>
            <w:proofErr w:type="spellStart"/>
            <w:r>
              <w:t>разгазированию</w:t>
            </w:r>
            <w:proofErr w:type="spellEnd"/>
            <w:r>
              <w:t xml:space="preserve"> горных выработок, расследованию, учету и предупреждению </w:t>
            </w:r>
            <w:proofErr w:type="spellStart"/>
            <w:r>
              <w:t>загазирований</w:t>
            </w:r>
            <w:proofErr w:type="spellEnd"/>
            <w:r>
              <w:t>". Зарегистрирован Минюстом России 29 декабря 2012 г., регистрационный N 26463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 г., регистрационный N 26466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6 ноября 2012 г. N 638 "Об утверждении Федеральных норм и </w:t>
            </w:r>
            <w:r>
              <w:lastRenderedPageBreak/>
              <w:t>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 xml:space="preserve"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      </w:r>
            <w:proofErr w:type="spellStart"/>
            <w:r>
              <w:t>газообильности</w:t>
            </w:r>
            <w:proofErr w:type="spellEnd"/>
            <w:r>
              <w:t xml:space="preserve">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1 декабря 2011 г. N 678 "Об утверждении Положения об </w:t>
            </w:r>
            <w:proofErr w:type="spellStart"/>
            <w:r>
              <w:t>аэрогазовом</w:t>
            </w:r>
            <w:proofErr w:type="spellEnd"/>
            <w:r>
              <w:t xml:space="preserve"> контроле в угольных шахтах". Зарегистрирован Минюстом России 29 декабря 2011 г., регистрационный N 22812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      </w:r>
            <w:proofErr w:type="spellStart"/>
            <w:r>
              <w:t>газоотсасывающих</w:t>
            </w:r>
            <w:proofErr w:type="spellEnd"/>
            <w:r>
              <w:t xml:space="preserve"> установок". Зарегистрирован Минюстом России 29 декабря 2011 г., N 22815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820544" w:rsidTr="00820544">
        <w:tc>
          <w:tcPr>
            <w:tcW w:w="10064" w:type="dxa"/>
          </w:tcPr>
          <w:p w:rsidR="00820544" w:rsidRDefault="00820544" w:rsidP="00820544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30 сентября 1999 г. N 71 "Об утверждении Норм безопасности на транспортные машины с дизельным приводом для угольных шахт." (РД 05-311-99)</w:t>
            </w:r>
          </w:p>
        </w:tc>
      </w:tr>
    </w:tbl>
    <w:p w:rsidR="00820544" w:rsidRPr="00820544" w:rsidRDefault="00820544" w:rsidP="00820544">
      <w:pPr>
        <w:rPr>
          <w:b/>
        </w:rPr>
      </w:pPr>
    </w:p>
    <w:sectPr w:rsidR="00820544" w:rsidRPr="00820544" w:rsidSect="005D72AC">
      <w:footerReference w:type="default" r:id="rId17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AD" w:rsidRDefault="005F75AD" w:rsidP="00AF30E8">
      <w:pPr>
        <w:spacing w:line="240" w:lineRule="auto"/>
      </w:pPr>
      <w:r>
        <w:separator/>
      </w:r>
    </w:p>
  </w:endnote>
  <w:endnote w:type="continuationSeparator" w:id="0">
    <w:p w:rsidR="005F75AD" w:rsidRDefault="005F75AD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AD" w:rsidRDefault="005F75AD" w:rsidP="00AF30E8">
      <w:pPr>
        <w:spacing w:line="240" w:lineRule="auto"/>
      </w:pPr>
      <w:r>
        <w:separator/>
      </w:r>
    </w:p>
  </w:footnote>
  <w:footnote w:type="continuationSeparator" w:id="0">
    <w:p w:rsidR="005F75AD" w:rsidRDefault="005F75AD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6"/>
    <w:multiLevelType w:val="hybridMultilevel"/>
    <w:tmpl w:val="E5F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1EA3"/>
    <w:multiLevelType w:val="hybridMultilevel"/>
    <w:tmpl w:val="9A9E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71073"/>
    <w:rsid w:val="0008203B"/>
    <w:rsid w:val="000A1399"/>
    <w:rsid w:val="000C4F3A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A16CE"/>
    <w:rsid w:val="002C1E8E"/>
    <w:rsid w:val="002C6E75"/>
    <w:rsid w:val="002E4DA8"/>
    <w:rsid w:val="00300C41"/>
    <w:rsid w:val="00311EA0"/>
    <w:rsid w:val="003165CD"/>
    <w:rsid w:val="00374CAB"/>
    <w:rsid w:val="00375F63"/>
    <w:rsid w:val="003F2533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5F75AD"/>
    <w:rsid w:val="00600062"/>
    <w:rsid w:val="006636BE"/>
    <w:rsid w:val="0067048D"/>
    <w:rsid w:val="006B1A3B"/>
    <w:rsid w:val="006B24DE"/>
    <w:rsid w:val="00713872"/>
    <w:rsid w:val="00716C25"/>
    <w:rsid w:val="00725519"/>
    <w:rsid w:val="00754EFF"/>
    <w:rsid w:val="007669CC"/>
    <w:rsid w:val="007C2AFE"/>
    <w:rsid w:val="007D1040"/>
    <w:rsid w:val="007E2774"/>
    <w:rsid w:val="007E2D6C"/>
    <w:rsid w:val="007F0E21"/>
    <w:rsid w:val="00814789"/>
    <w:rsid w:val="008201AD"/>
    <w:rsid w:val="00820544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A511D"/>
    <w:rsid w:val="008B2B0E"/>
    <w:rsid w:val="00986EDB"/>
    <w:rsid w:val="00992475"/>
    <w:rsid w:val="009932A1"/>
    <w:rsid w:val="009B1C12"/>
    <w:rsid w:val="009B46F3"/>
    <w:rsid w:val="009F7C3C"/>
    <w:rsid w:val="00A0137F"/>
    <w:rsid w:val="00A10424"/>
    <w:rsid w:val="00A52FAE"/>
    <w:rsid w:val="00A55E54"/>
    <w:rsid w:val="00A72D4C"/>
    <w:rsid w:val="00A8137E"/>
    <w:rsid w:val="00AB592E"/>
    <w:rsid w:val="00AC4296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00ED0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3B2B"/>
    <w:rsid w:val="00DA0165"/>
    <w:rsid w:val="00DB45C8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92D40"/>
    <w:rsid w:val="00F973AE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3D7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202031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0315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817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817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3150" TargetMode="External"/><Relationship Id="rId10" Type="http://schemas.openxmlformats.org/officeDocument/2006/relationships/hyperlink" Target="http://docs.cntd.ru/document/4990617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387" TargetMode="External"/><Relationship Id="rId14" Type="http://schemas.openxmlformats.org/officeDocument/2006/relationships/hyperlink" Target="http://docs.cntd.ru/document/420381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883F-5F12-4324-8F29-83F90DB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36</cp:revision>
  <cp:lastPrinted>2019-11-19T11:06:00Z</cp:lastPrinted>
  <dcterms:created xsi:type="dcterms:W3CDTF">2018-10-30T09:02:00Z</dcterms:created>
  <dcterms:modified xsi:type="dcterms:W3CDTF">2020-09-04T11:37:00Z</dcterms:modified>
</cp:coreProperties>
</file>