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1606F7" w:rsidRDefault="00814789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7E51C6">
        <w:rPr>
          <w:b/>
          <w:sz w:val="24"/>
          <w:szCs w:val="24"/>
        </w:rPr>
        <w:t>НА ОБЪЕКТАХ ГАЗОРАСПРЕДЕЛЕНИЯ И ГАЗОПОТРЕБЛЕНИЯ»</w:t>
      </w: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7E51C6" w:rsidRDefault="007E51C6" w:rsidP="00AE7230">
      <w:pPr>
        <w:jc w:val="center"/>
        <w:rPr>
          <w:b/>
          <w:bCs/>
          <w:sz w:val="24"/>
          <w:szCs w:val="24"/>
        </w:rPr>
      </w:pPr>
      <w:r w:rsidRPr="007E51C6">
        <w:rPr>
          <w:b/>
          <w:bCs/>
          <w:sz w:val="24"/>
          <w:szCs w:val="24"/>
        </w:rPr>
        <w:t>«Технический надзор, строительство, реконструкция, капитальный ремонт объектов газораспределения и газопотребления»</w:t>
      </w:r>
    </w:p>
    <w:p w:rsidR="00AE7230" w:rsidRPr="007E51C6" w:rsidRDefault="00AE7230" w:rsidP="00AE7230">
      <w:pPr>
        <w:jc w:val="center"/>
        <w:rPr>
          <w:b/>
          <w:bCs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E51C6" w:rsidRDefault="007E51C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E51C6" w:rsidRDefault="007E51C6" w:rsidP="007E51C6">
      <w:pPr>
        <w:pStyle w:val="ConsPlusNormal"/>
        <w:ind w:firstLine="540"/>
        <w:jc w:val="both"/>
      </w:pPr>
      <w:r>
        <w:t>Дополнительная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08.02.08 "Монтаж и эксплуатация оборудования и систем газоснабжения", утвержденного приказом Минобрнауки России от 13 августа 2014 г. N 1003 (зарегистрирован Минюстом России 21 августа 2014 г., регистрационный N 33742).</w:t>
      </w:r>
    </w:p>
    <w:p w:rsidR="007E51C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7E51C6" w:rsidRPr="004C4EF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7E51C6" w:rsidRDefault="007E51C6" w:rsidP="007E51C6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7E51C6" w:rsidRDefault="007E51C6" w:rsidP="007E51C6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>
        <w:t>работники в области промышленной безопасности или иные лица (далее - слушатели).</w:t>
      </w:r>
    </w:p>
    <w:p w:rsidR="007E51C6" w:rsidRPr="004C4EF6" w:rsidRDefault="007E51C6" w:rsidP="007E51C6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7E51C6" w:rsidRPr="004C4EF6" w:rsidRDefault="007E51C6" w:rsidP="007E51C6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7E51C6" w:rsidRPr="001E5136" w:rsidRDefault="007E51C6" w:rsidP="007E51C6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7E51C6" w:rsidRDefault="007E51C6" w:rsidP="007E51C6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7E51C6" w:rsidRPr="00821D92" w:rsidRDefault="007E51C6" w:rsidP="007E51C6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7E51C6" w:rsidRDefault="007E51C6" w:rsidP="007E51C6">
      <w:pPr>
        <w:ind w:firstLine="426"/>
        <w:jc w:val="center"/>
        <w:rPr>
          <w:b/>
          <w:bCs/>
          <w:caps/>
          <w:sz w:val="24"/>
          <w:szCs w:val="24"/>
        </w:rPr>
      </w:pPr>
    </w:p>
    <w:p w:rsidR="007E51C6" w:rsidRPr="007E51C6" w:rsidRDefault="007E51C6" w:rsidP="007E51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E51C6">
        <w:rPr>
          <w:rFonts w:ascii="Times New Roman" w:hAnsi="Times New Roman" w:cs="Times New Roman"/>
        </w:rPr>
        <w:t>Цель и планируемые результаты обучения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E51C6" w:rsidRDefault="007E51C6" w:rsidP="007E51C6">
      <w:pPr>
        <w:jc w:val="center"/>
        <w:rPr>
          <w:b/>
        </w:rPr>
      </w:pPr>
    </w:p>
    <w:p w:rsidR="007E51C6" w:rsidRPr="0024715C" w:rsidRDefault="007E51C6" w:rsidP="007E51C6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знать: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уметь: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владеть: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F30D7" w:rsidRDefault="00BF30D7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F30D7" w:rsidRDefault="00BF30D7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F30D7" w:rsidRDefault="00BF30D7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F30D7" w:rsidRDefault="00BF30D7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>Учебный план 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7E51C6" w:rsidRDefault="007E51C6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>
        <w:rPr>
          <w:b/>
          <w:sz w:val="24"/>
          <w:szCs w:val="24"/>
        </w:rPr>
        <w:t>НА ОБЪЕКТАХ ГАЗОРАСПРЕДЕЛЕНИЯ И ГАЗОПОТРЕБЛЕНИЯ»</w:t>
      </w:r>
    </w:p>
    <w:p w:rsidR="007E51C6" w:rsidRDefault="007E51C6" w:rsidP="007E51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7E51C6" w:rsidRPr="007E51C6" w:rsidRDefault="007E51C6" w:rsidP="007E51C6">
      <w:pPr>
        <w:jc w:val="center"/>
        <w:rPr>
          <w:b/>
          <w:bCs/>
          <w:sz w:val="24"/>
          <w:szCs w:val="24"/>
        </w:rPr>
      </w:pPr>
      <w:r w:rsidRPr="007E51C6">
        <w:rPr>
          <w:b/>
          <w:bCs/>
          <w:sz w:val="24"/>
          <w:szCs w:val="24"/>
        </w:rPr>
        <w:t>«Технический надзор, строительство, реконструкция, капитальный ремонт объектов газораспределения и газопотребления»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37"/>
        <w:gridCol w:w="1134"/>
      </w:tblGrid>
      <w:tr w:rsidR="00BF30D7" w:rsidTr="00BF30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BF30D7" w:rsidTr="00BF30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30055F">
            <w:pPr>
              <w:pStyle w:val="ConsPlusNormal"/>
              <w:jc w:val="center"/>
            </w:pPr>
            <w:r>
              <w:t>14</w:t>
            </w:r>
          </w:p>
        </w:tc>
      </w:tr>
      <w:tr w:rsidR="00BF30D7" w:rsidTr="00BF30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7" w:rsidRDefault="00BF30D7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BF30D7" w:rsidTr="00BF30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814789">
            <w:pPr>
              <w:pStyle w:val="ConsPlusNormal"/>
              <w:jc w:val="center"/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7" w:rsidRDefault="00BF30D7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D7" w:rsidRDefault="00BF30D7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4C6888" w:rsidRDefault="004C6888" w:rsidP="00CB54CE">
      <w:pPr>
        <w:jc w:val="center"/>
        <w:rPr>
          <w:b/>
        </w:rPr>
      </w:pPr>
    </w:p>
    <w:p w:rsidR="00BF30D7" w:rsidRDefault="00BF30D7" w:rsidP="00CB54CE">
      <w:pPr>
        <w:jc w:val="center"/>
        <w:rPr>
          <w:b/>
        </w:rPr>
      </w:pPr>
      <w:bookmarkStart w:id="0" w:name="_GoBack"/>
      <w:bookmarkEnd w:id="0"/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lastRenderedPageBreak/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7E51C6" w:rsidTr="00BF2D51">
        <w:tc>
          <w:tcPr>
            <w:tcW w:w="10774" w:type="dxa"/>
          </w:tcPr>
          <w:p w:rsidR="007E51C6" w:rsidRDefault="007E51C6" w:rsidP="007E51C6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A1" w:rsidRDefault="00D204A1" w:rsidP="00AF30E8">
      <w:pPr>
        <w:spacing w:line="240" w:lineRule="auto"/>
      </w:pPr>
      <w:r>
        <w:separator/>
      </w:r>
    </w:p>
  </w:endnote>
  <w:endnote w:type="continuationSeparator" w:id="0">
    <w:p w:rsidR="00D204A1" w:rsidRDefault="00D204A1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A1" w:rsidRDefault="00D204A1" w:rsidP="00AF30E8">
      <w:pPr>
        <w:spacing w:line="240" w:lineRule="auto"/>
      </w:pPr>
      <w:r>
        <w:separator/>
      </w:r>
    </w:p>
  </w:footnote>
  <w:footnote w:type="continuationSeparator" w:id="0">
    <w:p w:rsidR="00D204A1" w:rsidRDefault="00D204A1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654BAE"/>
    <w:multiLevelType w:val="hybridMultilevel"/>
    <w:tmpl w:val="534E4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1E8E"/>
    <w:rsid w:val="002E4DA8"/>
    <w:rsid w:val="0030055F"/>
    <w:rsid w:val="00300C41"/>
    <w:rsid w:val="00311EA0"/>
    <w:rsid w:val="00374CAB"/>
    <w:rsid w:val="0041585C"/>
    <w:rsid w:val="00442836"/>
    <w:rsid w:val="00445999"/>
    <w:rsid w:val="00452C6C"/>
    <w:rsid w:val="00453A15"/>
    <w:rsid w:val="004975A7"/>
    <w:rsid w:val="004A6450"/>
    <w:rsid w:val="004C10F7"/>
    <w:rsid w:val="004C3939"/>
    <w:rsid w:val="004C6888"/>
    <w:rsid w:val="004D4BFB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51C6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5489"/>
    <w:rsid w:val="008A2B25"/>
    <w:rsid w:val="008B2B0E"/>
    <w:rsid w:val="00930F1F"/>
    <w:rsid w:val="00986EDB"/>
    <w:rsid w:val="00992475"/>
    <w:rsid w:val="009932A1"/>
    <w:rsid w:val="009B1C12"/>
    <w:rsid w:val="009B46F3"/>
    <w:rsid w:val="009F372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E7CD8"/>
    <w:rsid w:val="00BF2D51"/>
    <w:rsid w:val="00BF30D7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204A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82DF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E39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464E-07CF-4369-AA33-BECB9DA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36</cp:revision>
  <cp:lastPrinted>2019-11-19T11:06:00Z</cp:lastPrinted>
  <dcterms:created xsi:type="dcterms:W3CDTF">2018-10-30T09:02:00Z</dcterms:created>
  <dcterms:modified xsi:type="dcterms:W3CDTF">2019-11-22T11:24:00Z</dcterms:modified>
</cp:coreProperties>
</file>